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EC875" w14:textId="77777777" w:rsidR="007B4026" w:rsidRDefault="007B4026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rFonts w:ascii="Belleza" w:eastAsia="Belleza" w:hAnsi="Belleza" w:cs="Belleza"/>
          <w:b/>
          <w:color w:val="00004C"/>
          <w:sz w:val="32"/>
          <w:szCs w:val="32"/>
        </w:rPr>
        <w:t>Returning</w:t>
      </w:r>
      <w:r w:rsidR="005C0A8D">
        <w:rPr>
          <w:rFonts w:ascii="Belleza" w:eastAsia="Belleza" w:hAnsi="Belleza" w:cs="Belleza"/>
          <w:b/>
          <w:color w:val="00004C"/>
          <w:sz w:val="32"/>
          <w:szCs w:val="32"/>
        </w:rPr>
        <w:t xml:space="preserve"> Officer </w:t>
      </w:r>
    </w:p>
    <w:p w14:paraId="79ACF076" w14:textId="77777777" w:rsidR="005C49F0" w:rsidRDefault="005C0A8D" w:rsidP="005C49F0">
      <w:pPr>
        <w:ind w:left="-1200"/>
        <w:rPr>
          <w:rFonts w:ascii="Belleza" w:eastAsia="Belleza" w:hAnsi="Belleza" w:cs="Belleza"/>
          <w:b/>
          <w:color w:val="4A86E8"/>
        </w:rPr>
      </w:pPr>
      <w:r w:rsidRPr="007B40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992FB73" wp14:editId="76C54DD4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9F0">
        <w:rPr>
          <w:rFonts w:ascii="Belleza" w:eastAsia="Belleza" w:hAnsi="Belleza" w:cs="Belleza"/>
          <w:b/>
          <w:color w:val="4A86E8"/>
        </w:rPr>
        <w:t>Poonam Rajput</w:t>
      </w:r>
      <w:r w:rsidR="005C49F0">
        <w:rPr>
          <w:rFonts w:ascii="Belleza" w:eastAsia="Belleza" w:hAnsi="Belleza" w:cs="Belleza"/>
          <w:b/>
          <w:color w:val="4A86E8"/>
        </w:rPr>
        <w:t xml:space="preserve"> (MBBS IV)</w:t>
      </w:r>
    </w:p>
    <w:p w14:paraId="17D9E667" w14:textId="4ED74F94" w:rsidR="002A7D98" w:rsidRDefault="005C49F0" w:rsidP="005C49F0">
      <w:pPr>
        <w:ind w:left="-1200"/>
      </w:pPr>
      <w:r>
        <w:rPr>
          <w:rStyle w:val="Hyperlink"/>
          <w:rFonts w:ascii="Belleza" w:eastAsia="Belleza" w:hAnsi="Belleza" w:cs="Belleza"/>
          <w:b/>
          <w:color w:val="1155CC"/>
        </w:rPr>
        <w:t>Returningofficer@insight.org.au</w:t>
      </w:r>
      <w:r>
        <w:t xml:space="preserve"> </w:t>
      </w:r>
    </w:p>
    <w:p w14:paraId="3ACF1CD1" w14:textId="77777777" w:rsidR="005C49F0" w:rsidRPr="005C49F0" w:rsidRDefault="005C49F0" w:rsidP="005C49F0">
      <w:pPr>
        <w:ind w:left="-1200"/>
        <w:rPr>
          <w:rFonts w:ascii="Belleza" w:eastAsia="Belleza" w:hAnsi="Belleza" w:cs="Belleza"/>
          <w:b/>
          <w:color w:val="4A86E8"/>
        </w:rPr>
      </w:pPr>
    </w:p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325"/>
      </w:tblGrid>
      <w:tr w:rsidR="002A7D98" w14:paraId="5E25CE67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1D68C653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8D2DE0" w14:textId="3E529363" w:rsidR="002A7D98" w:rsidRDefault="007B4026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Returning </w:t>
            </w:r>
            <w:r w:rsidR="005C0A8D">
              <w:rPr>
                <w:rFonts w:ascii="Arial Narrow" w:eastAsia="Arial Narrow" w:hAnsi="Arial Narrow" w:cs="Arial Narrow"/>
                <w:sz w:val="22"/>
                <w:szCs w:val="22"/>
              </w:rPr>
              <w:t>Officer</w:t>
            </w:r>
          </w:p>
        </w:tc>
      </w:tr>
      <w:tr w:rsidR="002A7D98" w14:paraId="3C14A453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B6C3210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C97830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2A7D98" w14:paraId="3631F31F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EF0EAA7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6F516" w14:textId="3DDA4DDB" w:rsidR="002A7D98" w:rsidRDefault="007B4026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eturning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fficer </w:t>
            </w:r>
            <w:r w:rsidR="000538CD">
              <w:rPr>
                <w:rFonts w:ascii="Arial Narrow" w:eastAsia="Arial Narrow" w:hAnsi="Arial Narrow" w:cs="Arial Narrow"/>
                <w:sz w:val="22"/>
                <w:szCs w:val="22"/>
              </w:rPr>
              <w:t>is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new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position</w:t>
            </w:r>
            <w:r w:rsidR="000538CD">
              <w:rPr>
                <w:rFonts w:ascii="Arial Narrow" w:eastAsia="Arial Narrow" w:hAnsi="Arial Narrow" w:cs="Arial Narrow"/>
                <w:sz w:val="22"/>
                <w:szCs w:val="22"/>
              </w:rPr>
              <w:t>, and</w:t>
            </w:r>
            <w:proofErr w:type="gramEnd"/>
            <w:r w:rsidR="000538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was started in 2020. </w:t>
            </w:r>
          </w:p>
          <w:p w14:paraId="2BCD4CDD" w14:textId="558E73C8" w:rsidR="007B4026" w:rsidRDefault="007B4026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This position is for an individual with previous experience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 a member of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society executive or committee.</w:t>
            </w:r>
          </w:p>
          <w:p w14:paraId="440CB783" w14:textId="41E32A44" w:rsidR="007B4026" w:rsidRDefault="007B4026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D94DF7" w14:textId="67B75820" w:rsidR="007B4026" w:rsidRDefault="007B4026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7B402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Educate</w:t>
            </w:r>
            <w:r w:rsidR="00725449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,</w:t>
            </w:r>
            <w:r w:rsidRPr="007B402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Inspire</w:t>
            </w:r>
            <w:r w:rsidR="00725449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,</w:t>
            </w:r>
            <w:r w:rsidRPr="007B402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Empower</w:t>
            </w:r>
            <w:r w:rsidR="00725449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14:paraId="25F2DFD0" w14:textId="18588EC6" w:rsidR="00725449" w:rsidRDefault="00725449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The 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Returning 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>O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fficer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helps to educate committee members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about the workings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 and institutional knowledge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 of Insight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.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They inspire committee members and the wider student body to take tangible action </w:t>
            </w:r>
            <w:proofErr w:type="gramStart"/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in the area of</w:t>
            </w:r>
            <w:proofErr w:type="gramEnd"/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 global heat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>h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. They empower the Insight executive to set and work towards goals 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by providing knowledge about the success of previous initiatives by the organisation 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>(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>while not inhibiting forward growth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>)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.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They empower committee members to upskill, enact effective ideas and initiatives and collaborate within the organisation.</w:t>
            </w:r>
          </w:p>
          <w:p w14:paraId="708997F1" w14:textId="6996DF5A" w:rsidR="00725449" w:rsidRDefault="00725449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"/>
                <w:sz w:val="22"/>
                <w:szCs w:val="22"/>
              </w:rPr>
            </w:pPr>
          </w:p>
          <w:p w14:paraId="37D546E7" w14:textId="1869EEBD" w:rsidR="002A7D98" w:rsidRDefault="00725449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"/>
                <w:b/>
                <w:bCs/>
                <w:sz w:val="22"/>
                <w:szCs w:val="22"/>
              </w:rPr>
              <w:t>Main Roles</w:t>
            </w:r>
          </w:p>
          <w:p w14:paraId="0C0DD3C7" w14:textId="32F893F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Returning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Officer is responsible for:</w:t>
            </w:r>
          </w:p>
          <w:p w14:paraId="09823431" w14:textId="1E7AA77B" w:rsidR="002A7D98" w:rsidRDefault="007B4026" w:rsidP="00774D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continuation of institutional knowledge.  </w:t>
            </w:r>
          </w:p>
          <w:p w14:paraId="3C11B678" w14:textId="538B92A4" w:rsidR="007B4026" w:rsidRDefault="007B4026" w:rsidP="00774D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Attend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committee meetings and executive meetings as invited by the exec. </w:t>
            </w:r>
          </w:p>
          <w:p w14:paraId="68817BB3" w14:textId="5BA9D9C7" w:rsidR="007B4026" w:rsidRDefault="00725449" w:rsidP="00774D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="00EB5115">
              <w:rPr>
                <w:rFonts w:ascii="Arial Narrow" w:eastAsia="Arial Narrow" w:hAnsi="Arial Narrow" w:cs="Arial Narrow"/>
                <w:sz w:val="22"/>
                <w:szCs w:val="22"/>
              </w:rPr>
              <w:t>entoring the new exec as directed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EB511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by the executive elect. </w:t>
            </w:r>
          </w:p>
          <w:p w14:paraId="00644CB7" w14:textId="3A61B1A8" w:rsidR="00EB5115" w:rsidRDefault="00EB5115" w:rsidP="00774D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Organis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AGM for the calendar year. </w:t>
            </w:r>
          </w:p>
          <w:p w14:paraId="46F1680F" w14:textId="63A30784" w:rsidR="00EB5115" w:rsidRPr="007B4026" w:rsidRDefault="00EB5115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A7D98" w14:paraId="08978800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548C6C7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437911" w14:textId="4D9ED225" w:rsidR="007B4026" w:rsidRPr="00425E41" w:rsidRDefault="00725449" w:rsidP="00774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Opportunity 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 continue contributing to Insight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with less of a time commitment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7820422C" w14:textId="0F7C80A1" w:rsidR="00646A18" w:rsidRPr="007B4026" w:rsidRDefault="00646A18" w:rsidP="00774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Opportunity to build and maintain Insight’s institutional knowledge</w:t>
            </w:r>
          </w:p>
        </w:tc>
      </w:tr>
      <w:tr w:rsidR="002A7D98" w14:paraId="7BBDDDE7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8491EC6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A464DA" w14:textId="35260D98" w:rsidR="002A7D98" w:rsidRPr="007B4026" w:rsidRDefault="00774D8D" w:rsidP="00774D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specifics of the role are less clearly defined as it can vary based on the requirements of the executive and committee elect</w:t>
            </w:r>
          </w:p>
        </w:tc>
      </w:tr>
      <w:tr w:rsidR="002A7D98" w14:paraId="236236EC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DF6D789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3FBDD4" w14:textId="6B244B81" w:rsidR="002A7D98" w:rsidRDefault="005D4A6A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0" w:name="_trr4v1dlz6u8" w:colFirst="0" w:colLast="0"/>
            <w:bookmarkEnd w:id="0"/>
            <w:r>
              <w:rPr>
                <w:rFonts w:ascii="Arial Narrow" w:eastAsia="Arial Narrow" w:hAnsi="Arial Narrow" w:cs="Arial Narrow"/>
                <w:sz w:val="22"/>
                <w:szCs w:val="22"/>
              </w:rPr>
              <w:t>Average</w:t>
            </w:r>
            <w:r w:rsidR="005C0A8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workload is </w:t>
            </w:r>
            <w:r w:rsidR="00811009">
              <w:rPr>
                <w:rFonts w:ascii="Arial Narrow" w:eastAsia="Arial Narrow" w:hAnsi="Arial Narrow" w:cs="Arial Narrow"/>
                <w:sz w:val="22"/>
                <w:szCs w:val="22"/>
              </w:rPr>
              <w:t>≤</w:t>
            </w:r>
            <w:r w:rsidR="005C0A8D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5C0A8D">
              <w:rPr>
                <w:rFonts w:ascii="Arial Narrow" w:eastAsia="Arial Narrow" w:hAnsi="Arial Narrow" w:cs="Arial Narrow"/>
                <w:sz w:val="22"/>
                <w:szCs w:val="22"/>
              </w:rPr>
              <w:t>hour per week</w:t>
            </w:r>
            <w:r w:rsidR="00DB7210">
              <w:rPr>
                <w:rFonts w:ascii="Arial Narrow" w:eastAsia="Arial Narrow" w:hAnsi="Arial Narrow" w:cs="Arial Narrow"/>
                <w:sz w:val="22"/>
                <w:szCs w:val="22"/>
              </w:rPr>
              <w:t>, increasing in the lead-up to the AGM.</w:t>
            </w:r>
            <w:r w:rsidR="005C0A8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2A7D98" w14:paraId="2B4359BA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9E1CB76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B03DE5" w14:textId="2C1774FF" w:rsidR="002A7D98" w:rsidRPr="00DB7210" w:rsidRDefault="00DB7210" w:rsidP="00DB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Meet</w:t>
            </w:r>
            <w:r w:rsidRPr="00DB721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with the executive elect early in the year to ensure the handover of key information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="005D4A6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assist in the development of goals for the year informed by the previous work of Insight,</w:t>
            </w:r>
            <w:r w:rsidRPr="00DB721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to establish requirements of the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Returning Officer </w:t>
            </w:r>
            <w:r w:rsidRPr="00DB7210">
              <w:rPr>
                <w:rFonts w:ascii="Arial Narrow" w:eastAsia="Arial Narrow" w:hAnsi="Arial Narrow" w:cs="Arial Narrow"/>
                <w:sz w:val="22"/>
                <w:szCs w:val="22"/>
              </w:rPr>
              <w:t>role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throughout the year (which is likely to vary dependent on the experience of the executive elect).</w:t>
            </w:r>
          </w:p>
        </w:tc>
      </w:tr>
      <w:tr w:rsidR="002A7D98" w14:paraId="5CA5A47A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1D5FEC0" w14:textId="77777777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0BE038" w14:textId="459D522A" w:rsidR="007B4026" w:rsidRDefault="007B4026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Knowledge of the functioning of Insight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previous experience as a member of the society executive or committee.</w:t>
            </w:r>
          </w:p>
        </w:tc>
      </w:tr>
      <w:tr w:rsidR="002A7D98" w14:paraId="4EFB65E0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9A3B7E2" w14:textId="37AE9582" w:rsidR="002A7D98" w:rsidRDefault="005C0A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</w:t>
            </w:r>
            <w:r w:rsidR="007B402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s: 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8EBEC2" w14:textId="779FE33D" w:rsidR="00A97EDB" w:rsidRDefault="00A97EDB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2022: Poonam Rajput (MBBS IV)</w:t>
            </w:r>
          </w:p>
          <w:p w14:paraId="6D38728C" w14:textId="694621E2" w:rsidR="000538CD" w:rsidRDefault="000538C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2021: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Yeji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Kim (MBBS V) </w:t>
            </w:r>
          </w:p>
          <w:p w14:paraId="4DBFB7CF" w14:textId="7AE98FA4" w:rsidR="002A7D98" w:rsidRDefault="00774D8D" w:rsidP="0077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2020: Eleanor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Sarre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(MBBS IV)</w:t>
            </w:r>
          </w:p>
        </w:tc>
      </w:tr>
    </w:tbl>
    <w:p w14:paraId="1D802EE0" w14:textId="77777777" w:rsidR="002A7D98" w:rsidRDefault="002A7D98">
      <w:pPr>
        <w:pBdr>
          <w:top w:val="nil"/>
          <w:left w:val="nil"/>
          <w:bottom w:val="nil"/>
          <w:right w:val="nil"/>
          <w:between w:val="nil"/>
        </w:pBdr>
      </w:pPr>
    </w:p>
    <w:sectPr w:rsidR="002A7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2F5B" w14:textId="77777777" w:rsidR="004B6FCA" w:rsidRDefault="004B6FCA">
      <w:r>
        <w:separator/>
      </w:r>
    </w:p>
  </w:endnote>
  <w:endnote w:type="continuationSeparator" w:id="0">
    <w:p w14:paraId="53679016" w14:textId="77777777" w:rsidR="004B6FCA" w:rsidRDefault="004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eza">
    <w:altName w:val="Calibri"/>
    <w:charset w:val="00"/>
    <w:family w:val="auto"/>
    <w:pitch w:val="variable"/>
    <w:sig w:usb0="800000AF" w:usb1="5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F08" w14:textId="77777777" w:rsidR="007B4026" w:rsidRDefault="007B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DF60" w14:textId="77777777" w:rsidR="007B4026" w:rsidRDefault="007B4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55E1" w14:textId="77777777" w:rsidR="007B4026" w:rsidRDefault="007B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4AFA" w14:textId="77777777" w:rsidR="004B6FCA" w:rsidRDefault="004B6FCA">
      <w:r>
        <w:separator/>
      </w:r>
    </w:p>
  </w:footnote>
  <w:footnote w:type="continuationSeparator" w:id="0">
    <w:p w14:paraId="21830FF5" w14:textId="77777777" w:rsidR="004B6FCA" w:rsidRDefault="004B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914C" w14:textId="77777777" w:rsidR="007B4026" w:rsidRDefault="007B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A093" w14:textId="77777777" w:rsidR="002A7D98" w:rsidRDefault="002A7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202D" w14:textId="77777777" w:rsidR="007B4026" w:rsidRDefault="007B4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5F"/>
    <w:multiLevelType w:val="hybridMultilevel"/>
    <w:tmpl w:val="F0743734"/>
    <w:lvl w:ilvl="0" w:tplc="8A3229FC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F66"/>
    <w:multiLevelType w:val="multilevel"/>
    <w:tmpl w:val="7F4C0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EC56DE"/>
    <w:multiLevelType w:val="multilevel"/>
    <w:tmpl w:val="A73664E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4F122809"/>
    <w:multiLevelType w:val="hybridMultilevel"/>
    <w:tmpl w:val="CDCC8084"/>
    <w:lvl w:ilvl="0" w:tplc="F284736E">
      <w:numFmt w:val="bullet"/>
      <w:lvlText w:val=""/>
      <w:lvlJc w:val="left"/>
      <w:pPr>
        <w:ind w:left="360" w:hanging="360"/>
      </w:pPr>
      <w:rPr>
        <w:rFonts w:ascii="Symbol" w:eastAsia="Arial Narrow" w:hAnsi="Symbol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D6742"/>
    <w:multiLevelType w:val="multilevel"/>
    <w:tmpl w:val="14BCEA4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64C3508E"/>
    <w:multiLevelType w:val="multilevel"/>
    <w:tmpl w:val="46382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5E46E0"/>
    <w:multiLevelType w:val="hybridMultilevel"/>
    <w:tmpl w:val="8CC83B1E"/>
    <w:lvl w:ilvl="0" w:tplc="D0A6E5FC">
      <w:numFmt w:val="bullet"/>
      <w:lvlText w:val=""/>
      <w:lvlJc w:val="left"/>
      <w:pPr>
        <w:ind w:left="408" w:hanging="360"/>
      </w:pPr>
      <w:rPr>
        <w:rFonts w:ascii="Symbol" w:eastAsia="Arial Narrow" w:hAnsi="Symbol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32987850">
    <w:abstractNumId w:val="1"/>
  </w:num>
  <w:num w:numId="2" w16cid:durableId="488642375">
    <w:abstractNumId w:val="5"/>
  </w:num>
  <w:num w:numId="3" w16cid:durableId="1146900802">
    <w:abstractNumId w:val="2"/>
  </w:num>
  <w:num w:numId="4" w16cid:durableId="1120294348">
    <w:abstractNumId w:val="4"/>
  </w:num>
  <w:num w:numId="5" w16cid:durableId="552042256">
    <w:abstractNumId w:val="6"/>
  </w:num>
  <w:num w:numId="6" w16cid:durableId="2137292193">
    <w:abstractNumId w:val="0"/>
  </w:num>
  <w:num w:numId="7" w16cid:durableId="610086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M7A0MbewMDA1MTFQ0lEKTi0uzszPAykwrAUAu8q6OSwAAAA="/>
  </w:docVars>
  <w:rsids>
    <w:rsidRoot w:val="002A7D98"/>
    <w:rsid w:val="000538CD"/>
    <w:rsid w:val="0019664E"/>
    <w:rsid w:val="00240390"/>
    <w:rsid w:val="002A7D98"/>
    <w:rsid w:val="0032103D"/>
    <w:rsid w:val="00425E41"/>
    <w:rsid w:val="004B6FCA"/>
    <w:rsid w:val="005C0A8D"/>
    <w:rsid w:val="005C49F0"/>
    <w:rsid w:val="005D4A6A"/>
    <w:rsid w:val="00646A18"/>
    <w:rsid w:val="00725449"/>
    <w:rsid w:val="0073787E"/>
    <w:rsid w:val="00774D8D"/>
    <w:rsid w:val="007B4026"/>
    <w:rsid w:val="00811009"/>
    <w:rsid w:val="00817D19"/>
    <w:rsid w:val="00A97EDB"/>
    <w:rsid w:val="00C10004"/>
    <w:rsid w:val="00DB7210"/>
    <w:rsid w:val="00DC17E3"/>
    <w:rsid w:val="00EB5115"/>
    <w:rsid w:val="00E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0E17C"/>
  <w15:docId w15:val="{701D00C7-C51D-894B-BC00-C70FD8B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26"/>
  </w:style>
  <w:style w:type="paragraph" w:styleId="Footer">
    <w:name w:val="footer"/>
    <w:basedOn w:val="Normal"/>
    <w:link w:val="FooterChar"/>
    <w:uiPriority w:val="99"/>
    <w:unhideWhenUsed/>
    <w:rsid w:val="007B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26"/>
  </w:style>
  <w:style w:type="character" w:styleId="Hyperlink">
    <w:name w:val="Hyperlink"/>
    <w:basedOn w:val="DefaultParagraphFont"/>
    <w:uiPriority w:val="99"/>
    <w:unhideWhenUsed/>
    <w:rsid w:val="007B4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4107C1F-E69B-FA4E-AB8A-31026E0C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Thompkins</dc:creator>
  <cp:lastModifiedBy>Huy On</cp:lastModifiedBy>
  <cp:revision>4</cp:revision>
  <dcterms:created xsi:type="dcterms:W3CDTF">2021-09-13T03:46:00Z</dcterms:created>
  <dcterms:modified xsi:type="dcterms:W3CDTF">2022-10-03T11:53:00Z</dcterms:modified>
</cp:coreProperties>
</file>