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4EC875" w14:textId="77777777" w:rsidR="007B4026" w:rsidRDefault="007B4026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bookmarkStart w:id="0" w:name="_GoBack"/>
      <w:bookmarkEnd w:id="0"/>
      <w:r>
        <w:rPr>
          <w:rFonts w:ascii="Belleza" w:eastAsia="Belleza" w:hAnsi="Belleza" w:cs="Belleza"/>
          <w:b/>
          <w:color w:val="00004C"/>
          <w:sz w:val="32"/>
          <w:szCs w:val="32"/>
        </w:rPr>
        <w:t>Returning</w:t>
      </w:r>
      <w:r w:rsidR="005C0A8D">
        <w:rPr>
          <w:rFonts w:ascii="Belleza" w:eastAsia="Belleza" w:hAnsi="Belleza" w:cs="Belleza"/>
          <w:b/>
          <w:color w:val="00004C"/>
          <w:sz w:val="32"/>
          <w:szCs w:val="32"/>
        </w:rPr>
        <w:t xml:space="preserve"> Officer </w:t>
      </w:r>
    </w:p>
    <w:p w14:paraId="24CFB7AC" w14:textId="759DAC6C" w:rsidR="002A7D98" w:rsidRPr="007B4026" w:rsidRDefault="005C0A8D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00004C"/>
          <w:sz w:val="28"/>
          <w:szCs w:val="28"/>
        </w:rPr>
      </w:pPr>
      <w:r w:rsidRPr="007B40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992FB73" wp14:editId="76C54DD4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l="0" t="0" r="0" b="0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B4026" w:rsidRPr="007B4026">
        <w:rPr>
          <w:rFonts w:ascii="Belleza" w:eastAsia="Belleza" w:hAnsi="Belleza" w:cs="Belleza"/>
          <w:b/>
          <w:color w:val="00004C"/>
          <w:sz w:val="28"/>
          <w:szCs w:val="28"/>
        </w:rPr>
        <w:t>New position in 20</w:t>
      </w:r>
      <w:r w:rsidR="007B4026">
        <w:rPr>
          <w:rFonts w:ascii="Belleza" w:eastAsia="Belleza" w:hAnsi="Belleza" w:cs="Belleza"/>
          <w:b/>
          <w:color w:val="00004C"/>
          <w:sz w:val="28"/>
          <w:szCs w:val="28"/>
        </w:rPr>
        <w:t>20</w:t>
      </w:r>
    </w:p>
    <w:p w14:paraId="795047A8" w14:textId="1D904656" w:rsidR="002A7D98" w:rsidRDefault="00240390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A50021"/>
        </w:rPr>
      </w:pPr>
      <w:hyperlink r:id="rId9" w:history="1">
        <w:r w:rsidR="007B4026" w:rsidRPr="00351D61">
          <w:rPr>
            <w:rStyle w:val="Hyperlink"/>
            <w:rFonts w:ascii="Belleza" w:eastAsia="Belleza" w:hAnsi="Belleza" w:cs="Belleza"/>
            <w:b/>
          </w:rPr>
          <w:t>returningofficer@insight.org.au</w:t>
        </w:r>
      </w:hyperlink>
      <w:r w:rsidR="005C0A8D">
        <w:rPr>
          <w:rFonts w:ascii="Belleza" w:eastAsia="Belleza" w:hAnsi="Belleza" w:cs="Belleza"/>
          <w:b/>
          <w:color w:val="A50021"/>
        </w:rPr>
        <w:t xml:space="preserve"> </w:t>
      </w:r>
    </w:p>
    <w:p w14:paraId="17D9E667" w14:textId="77777777" w:rsidR="002A7D98" w:rsidRDefault="002A7D9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325"/>
      </w:tblGrid>
      <w:tr w:rsidR="002A7D98" w14:paraId="5E25CE67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1D68C653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8D2DE0" w14:textId="3E529363" w:rsidR="002A7D98" w:rsidRDefault="007B4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Returning </w:t>
            </w:r>
            <w:r w:rsidR="005C0A8D">
              <w:rPr>
                <w:rFonts w:ascii="Arial Narrow" w:eastAsia="Arial Narrow" w:hAnsi="Arial Narrow" w:cs="Arial Narrow"/>
                <w:sz w:val="22"/>
                <w:szCs w:val="22"/>
              </w:rPr>
              <w:t>Officer</w:t>
            </w:r>
          </w:p>
        </w:tc>
      </w:tr>
      <w:tr w:rsidR="002A7D98" w14:paraId="3C14A453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B6C3210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C97830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At AGM, by secret ballot</w:t>
            </w:r>
          </w:p>
        </w:tc>
      </w:tr>
      <w:tr w:rsidR="002A7D98" w14:paraId="3631F31F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7EF0EAA7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66F516" w14:textId="2AC4A8DA" w:rsidR="002A7D98" w:rsidRDefault="007B4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eturning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fficer is a new position on the 2020 committee. </w:t>
            </w:r>
          </w:p>
          <w:p w14:paraId="2BCD4CDD" w14:textId="558E73C8" w:rsidR="007B4026" w:rsidRDefault="007B4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This position is for an individual with previous experience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as a member of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society executive or committee.</w:t>
            </w:r>
          </w:p>
          <w:p w14:paraId="440CB783" w14:textId="41E32A44" w:rsidR="007B4026" w:rsidRDefault="007B4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D94DF7" w14:textId="67B75820" w:rsidR="007B4026" w:rsidRDefault="007B4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7B402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Educate</w:t>
            </w:r>
            <w:r w:rsidR="00725449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,</w:t>
            </w:r>
            <w:r w:rsidRPr="007B402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Inspire</w:t>
            </w:r>
            <w:r w:rsidR="00725449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,</w:t>
            </w:r>
            <w:r w:rsidRPr="007B402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Empower</w:t>
            </w:r>
            <w:r w:rsidR="00725449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14:paraId="25F2DFD0" w14:textId="18588EC6" w:rsidR="00725449" w:rsidRDefault="0072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The 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Returning 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>O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fficer 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>helps to educate committee members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 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>about the workings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 and institutional knowledge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 of Insight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. 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>They inspire committee members and the wider student body to take tangible action in the area of global heat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>h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. They empower the Insight executive to set and work towards goals 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by providing knowledge about the success of previous initiatives by the organisation 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>(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>while not inhibiting forward growth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>)</w:t>
            </w:r>
            <w:r w:rsidR="00EB5115">
              <w:rPr>
                <w:rFonts w:ascii="Arial Narrow" w:eastAsia="Arial Narrow" w:hAnsi="Arial Narrow" w:cs="Arial"/>
                <w:sz w:val="22"/>
                <w:szCs w:val="22"/>
              </w:rPr>
              <w:t xml:space="preserve">. </w:t>
            </w:r>
            <w:r w:rsidR="00EB5115" w:rsidRPr="00EB5115">
              <w:rPr>
                <w:rFonts w:ascii="Arial Narrow" w:eastAsia="Arial Narrow" w:hAnsi="Arial Narrow" w:cs="Arial"/>
                <w:sz w:val="22"/>
                <w:szCs w:val="22"/>
              </w:rPr>
              <w:t>They empower committee members to upskill, enact effective ideas and initiatives and collaborate within the organisation.</w:t>
            </w:r>
          </w:p>
          <w:p w14:paraId="708997F1" w14:textId="6996DF5A" w:rsidR="00725449" w:rsidRDefault="0072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sz w:val="22"/>
                <w:szCs w:val="22"/>
              </w:rPr>
            </w:pPr>
          </w:p>
          <w:p w14:paraId="37D546E7" w14:textId="1869EEBD" w:rsidR="002A7D98" w:rsidRDefault="0072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"/>
                <w:b/>
                <w:bCs/>
                <w:sz w:val="22"/>
                <w:szCs w:val="22"/>
              </w:rPr>
              <w:t>Main Roles</w:t>
            </w:r>
          </w:p>
          <w:p w14:paraId="0C0DD3C7" w14:textId="32F893F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Returning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Officer is responsible for:</w:t>
            </w:r>
          </w:p>
          <w:p w14:paraId="09823431" w14:textId="1E7AA77B" w:rsidR="002A7D98" w:rsidRDefault="007B4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continuation of institutional knowledge.  </w:t>
            </w:r>
          </w:p>
          <w:p w14:paraId="3C11B678" w14:textId="538B92A4" w:rsidR="007B4026" w:rsidRDefault="007B4026" w:rsidP="007B4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Attend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ing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committee meetings and executive meetings as invited by the exec. </w:t>
            </w:r>
          </w:p>
          <w:p w14:paraId="68817BB3" w14:textId="50CF439D" w:rsidR="007B4026" w:rsidRDefault="00EB5115" w:rsidP="007B4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entoring the new exec as directed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by the executive elect. </w:t>
            </w:r>
          </w:p>
          <w:p w14:paraId="00644CB7" w14:textId="3A61B1A8" w:rsidR="00EB5115" w:rsidRDefault="00EB5115" w:rsidP="007B4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Organis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ing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AGM for the calendar year. </w:t>
            </w:r>
          </w:p>
          <w:p w14:paraId="46F1680F" w14:textId="63A30784" w:rsidR="00EB5115" w:rsidRPr="007B4026" w:rsidRDefault="00EB5115" w:rsidP="00EB5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A7D98" w14:paraId="08978800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548C6C7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1A66E7" w14:textId="50E948C8" w:rsidR="002A7D98" w:rsidRPr="007B4026" w:rsidRDefault="007B4026" w:rsidP="007B40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New role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with scope</w:t>
            </w:r>
            <w:r w:rsidR="00646A1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to make it your own</w:t>
            </w:r>
          </w:p>
          <w:p w14:paraId="58437911" w14:textId="4D9ED225" w:rsidR="007B4026" w:rsidRPr="00425E41" w:rsidRDefault="00725449" w:rsidP="007B40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Opportunity 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to continue contributing to Insight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with less of a time commitment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7820422C" w14:textId="0F7C80A1" w:rsidR="00646A18" w:rsidRPr="007B4026" w:rsidRDefault="00646A18" w:rsidP="007B40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Opportunity to build and maintain Insight’s institutional knowledge</w:t>
            </w:r>
          </w:p>
        </w:tc>
      </w:tr>
      <w:tr w:rsidR="002A7D98" w14:paraId="7BBDDDE7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8491EC6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A464DA" w14:textId="74FC6F70" w:rsidR="002A7D98" w:rsidRPr="007B4026" w:rsidRDefault="007B4026" w:rsidP="007B40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New role and therefore the specifics 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>of the role are not clearly defined currently</w:t>
            </w:r>
          </w:p>
        </w:tc>
      </w:tr>
      <w:tr w:rsidR="002A7D98" w14:paraId="236236EC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DF6D789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77CE9" w14:textId="2E3D40D6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trr4v1dlz6u8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Approx. 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expected workload is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7B40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-2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hour per week when workload is low (early in the year)</w:t>
            </w:r>
          </w:p>
          <w:p w14:paraId="373FBDD4" w14:textId="0DF3FE26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" w:name="_4hj7eqrnllc0" w:colFirst="0" w:colLast="0"/>
            <w:bookmarkEnd w:id="2"/>
            <w:r>
              <w:rPr>
                <w:rFonts w:ascii="Arial Narrow" w:eastAsia="Arial Narrow" w:hAnsi="Arial Narrow" w:cs="Arial Narrow"/>
                <w:sz w:val="22"/>
                <w:szCs w:val="22"/>
              </w:rPr>
              <w:t>Increases to several hours leading up to the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AGM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</w:tc>
      </w:tr>
      <w:tr w:rsidR="002A7D98" w14:paraId="2B4359BA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9E1CB76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B03DE5" w14:textId="427F2299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2A7D98" w14:paraId="5CA5A47A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1D5FEC0" w14:textId="77777777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Experience required: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0BE038" w14:textId="459D522A" w:rsidR="007B4026" w:rsidRDefault="007B4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Knowledge of the functioning of Insight</w:t>
            </w:r>
            <w:r w:rsidR="0072544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previous experience as a member of the society executive or committee.</w:t>
            </w:r>
          </w:p>
        </w:tc>
      </w:tr>
      <w:tr w:rsidR="002A7D98" w14:paraId="4EFB65E0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9A3B7E2" w14:textId="37AE9582" w:rsidR="002A7D98" w:rsidRDefault="005C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Past office bearer</w:t>
            </w:r>
            <w:r w:rsidR="007B402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s: 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BFB7CF" w14:textId="1C8C38FD" w:rsidR="002A7D98" w:rsidRDefault="007B4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None</w:t>
            </w:r>
          </w:p>
        </w:tc>
      </w:tr>
    </w:tbl>
    <w:p w14:paraId="1D802EE0" w14:textId="77777777" w:rsidR="002A7D98" w:rsidRDefault="002A7D98">
      <w:pPr>
        <w:pBdr>
          <w:top w:val="nil"/>
          <w:left w:val="nil"/>
          <w:bottom w:val="nil"/>
          <w:right w:val="nil"/>
          <w:between w:val="nil"/>
        </w:pBdr>
      </w:pPr>
    </w:p>
    <w:sectPr w:rsidR="002A7D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E370" w14:textId="77777777" w:rsidR="00240390" w:rsidRDefault="00240390">
      <w:r>
        <w:separator/>
      </w:r>
    </w:p>
  </w:endnote>
  <w:endnote w:type="continuationSeparator" w:id="0">
    <w:p w14:paraId="4109A95D" w14:textId="77777777" w:rsidR="00240390" w:rsidRDefault="0024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lleza">
    <w:altName w:val="Calibri"/>
    <w:charset w:val="00"/>
    <w:family w:val="auto"/>
    <w:pitch w:val="variable"/>
    <w:sig w:usb0="800000AF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8F08" w14:textId="77777777" w:rsidR="007B4026" w:rsidRDefault="007B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DF60" w14:textId="77777777" w:rsidR="007B4026" w:rsidRDefault="007B4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55E1" w14:textId="77777777" w:rsidR="007B4026" w:rsidRDefault="007B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6129" w14:textId="77777777" w:rsidR="00240390" w:rsidRDefault="00240390">
      <w:r>
        <w:separator/>
      </w:r>
    </w:p>
  </w:footnote>
  <w:footnote w:type="continuationSeparator" w:id="0">
    <w:p w14:paraId="46C02EC7" w14:textId="77777777" w:rsidR="00240390" w:rsidRDefault="0024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914C" w14:textId="77777777" w:rsidR="007B4026" w:rsidRDefault="007B4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A093" w14:textId="77777777" w:rsidR="002A7D98" w:rsidRDefault="002A7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202D" w14:textId="77777777" w:rsidR="007B4026" w:rsidRDefault="007B4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F66"/>
    <w:multiLevelType w:val="multilevel"/>
    <w:tmpl w:val="7F4C0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EC56DE"/>
    <w:multiLevelType w:val="multilevel"/>
    <w:tmpl w:val="A73664E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5D1D6742"/>
    <w:multiLevelType w:val="multilevel"/>
    <w:tmpl w:val="14BCEA4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64C3508E"/>
    <w:multiLevelType w:val="multilevel"/>
    <w:tmpl w:val="46382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M7A0MbewMDA1MTFQ0lEKTi0uzszPAykwrAUAu8q6OSwAAAA="/>
  </w:docVars>
  <w:rsids>
    <w:rsidRoot w:val="002A7D98"/>
    <w:rsid w:val="0019664E"/>
    <w:rsid w:val="00240390"/>
    <w:rsid w:val="002A7D98"/>
    <w:rsid w:val="00425E41"/>
    <w:rsid w:val="005C0A8D"/>
    <w:rsid w:val="00646A18"/>
    <w:rsid w:val="00725449"/>
    <w:rsid w:val="007B4026"/>
    <w:rsid w:val="00E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E17C"/>
  <w15:docId w15:val="{701D00C7-C51D-894B-BC00-C70FD8B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026"/>
  </w:style>
  <w:style w:type="paragraph" w:styleId="Footer">
    <w:name w:val="footer"/>
    <w:basedOn w:val="Normal"/>
    <w:link w:val="FooterChar"/>
    <w:uiPriority w:val="99"/>
    <w:unhideWhenUsed/>
    <w:rsid w:val="007B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26"/>
  </w:style>
  <w:style w:type="character" w:styleId="Hyperlink">
    <w:name w:val="Hyperlink"/>
    <w:basedOn w:val="DefaultParagraphFont"/>
    <w:uiPriority w:val="99"/>
    <w:unhideWhenUsed/>
    <w:rsid w:val="007B4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0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urningofficer@insight.org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04107C1F-E69B-FA4E-AB8A-31026E0C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Thompkins</dc:creator>
  <cp:lastModifiedBy>Jerida Burgess</cp:lastModifiedBy>
  <cp:revision>2</cp:revision>
  <dcterms:created xsi:type="dcterms:W3CDTF">2019-09-30T23:28:00Z</dcterms:created>
  <dcterms:modified xsi:type="dcterms:W3CDTF">2019-09-30T23:28:00Z</dcterms:modified>
</cp:coreProperties>
</file>