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1B99" w14:textId="6BE2E5BE" w:rsidR="0023598B" w:rsidRDefault="00F97BC2">
      <w:pPr>
        <w:ind w:left="-1200"/>
        <w:rPr>
          <w:rFonts w:ascii="Belleza" w:eastAsia="Belleza" w:hAnsi="Belleza" w:cs="Belleza"/>
          <w:b/>
          <w:color w:val="00004C"/>
          <w:sz w:val="32"/>
          <w:szCs w:val="32"/>
        </w:rPr>
      </w:pPr>
      <w:r>
        <w:rPr>
          <w:rFonts w:ascii="Belleza" w:eastAsia="Belleza" w:hAnsi="Belleza" w:cs="Belleza"/>
          <w:b/>
          <w:color w:val="00004C"/>
          <w:sz w:val="32"/>
          <w:szCs w:val="32"/>
        </w:rPr>
        <w:t>Pre-</w:t>
      </w:r>
      <w:r w:rsidR="009646B5">
        <w:rPr>
          <w:rFonts w:ascii="Belleza" w:eastAsia="Belleza" w:hAnsi="Belleza" w:cs="Belleza"/>
          <w:b/>
          <w:color w:val="00004C"/>
          <w:sz w:val="32"/>
          <w:szCs w:val="32"/>
        </w:rPr>
        <w:t>C</w:t>
      </w:r>
      <w:r>
        <w:rPr>
          <w:rFonts w:ascii="Belleza" w:eastAsia="Belleza" w:hAnsi="Belleza" w:cs="Belleza"/>
          <w:b/>
          <w:color w:val="00004C"/>
          <w:sz w:val="32"/>
          <w:szCs w:val="32"/>
        </w:rPr>
        <w:t xml:space="preserve">linical Medical Student Representative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FA5F094" wp14:editId="2C0B34E9">
            <wp:simplePos x="0" y="0"/>
            <wp:positionH relativeFrom="margin">
              <wp:posOffset>4316469</wp:posOffset>
            </wp:positionH>
            <wp:positionV relativeFrom="paragraph">
              <wp:posOffset>-857884</wp:posOffset>
            </wp:positionV>
            <wp:extent cx="2176145" cy="719455"/>
            <wp:effectExtent l="0" t="0" r="0" b="0"/>
            <wp:wrapNone/>
            <wp:docPr id="1" name="image2.jpg" descr="G:\Insight\Insight Secretary Handover 2011\Insight logo_blue_neat ed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:\Insight\Insight Secretary Handover 2011\Insight logo_blue_neat ed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868650" w14:textId="5CB776CD" w:rsidR="0023598B" w:rsidRDefault="002B18A4">
      <w:pPr>
        <w:ind w:left="-1200"/>
        <w:rPr>
          <w:rFonts w:ascii="Belleza" w:eastAsia="Belleza" w:hAnsi="Belleza" w:cs="Belleza"/>
          <w:b/>
          <w:color w:val="4A86E8"/>
        </w:rPr>
      </w:pPr>
      <w:r>
        <w:rPr>
          <w:rFonts w:ascii="Belleza" w:eastAsia="Belleza" w:hAnsi="Belleza" w:cs="Belleza"/>
          <w:b/>
          <w:color w:val="4A86E8"/>
        </w:rPr>
        <w:t>Stevie Young</w:t>
      </w:r>
      <w:r w:rsidR="00F97BC2">
        <w:rPr>
          <w:rFonts w:ascii="Belleza" w:eastAsia="Belleza" w:hAnsi="Belleza" w:cs="Belleza"/>
          <w:b/>
          <w:color w:val="4A86E8"/>
        </w:rPr>
        <w:t xml:space="preserve"> (MBBS II) </w:t>
      </w:r>
    </w:p>
    <w:p w14:paraId="4ADB7AB6" w14:textId="77777777" w:rsidR="0023598B" w:rsidRDefault="002A23A8">
      <w:pPr>
        <w:ind w:left="-1200"/>
        <w:rPr>
          <w:rFonts w:ascii="Belleza" w:eastAsia="Belleza" w:hAnsi="Belleza" w:cs="Belleza"/>
          <w:b/>
          <w:color w:val="A50021"/>
        </w:rPr>
      </w:pPr>
      <w:hyperlink r:id="rId8">
        <w:r w:rsidR="00F97BC2">
          <w:rPr>
            <w:rFonts w:ascii="Belleza" w:eastAsia="Belleza" w:hAnsi="Belleza" w:cs="Belleza"/>
            <w:b/>
            <w:color w:val="1155CC"/>
            <w:u w:val="single"/>
          </w:rPr>
          <w:t>preclin@insight.org.au</w:t>
        </w:r>
      </w:hyperlink>
      <w:r w:rsidR="00F97BC2">
        <w:rPr>
          <w:rFonts w:ascii="Belleza" w:eastAsia="Belleza" w:hAnsi="Belleza" w:cs="Belleza"/>
          <w:b/>
          <w:color w:val="A50021"/>
        </w:rPr>
        <w:t xml:space="preserve"> </w:t>
      </w:r>
    </w:p>
    <w:p w14:paraId="60FF752D" w14:textId="77777777" w:rsidR="0023598B" w:rsidRDefault="0023598B"/>
    <w:tbl>
      <w:tblPr>
        <w:tblStyle w:val="a"/>
        <w:tblW w:w="10560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8175"/>
      </w:tblGrid>
      <w:tr w:rsidR="0023598B" w:rsidRPr="00622D20" w14:paraId="42F2561B" w14:textId="77777777">
        <w:tc>
          <w:tcPr>
            <w:tcW w:w="2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33F301D" w14:textId="77777777" w:rsidR="0023598B" w:rsidRPr="00622D20" w:rsidRDefault="00F97BC2">
            <w:pPr>
              <w:rPr>
                <w:rFonts w:ascii="Arial Narrow" w:eastAsia="Arial Narrow" w:hAnsi="Arial Narrow" w:cs="Arial"/>
                <w:b/>
                <w:bCs/>
                <w:sz w:val="22"/>
                <w:szCs w:val="22"/>
              </w:rPr>
            </w:pPr>
            <w:bookmarkStart w:id="0" w:name="_GoBack" w:colFirst="0" w:colLast="0"/>
            <w:r w:rsidRPr="00622D20"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  <w:t>Name of position:</w:t>
            </w:r>
          </w:p>
        </w:tc>
        <w:tc>
          <w:tcPr>
            <w:tcW w:w="8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25B089" w14:textId="77777777" w:rsidR="0023598B" w:rsidRPr="00622D20" w:rsidRDefault="00F97BC2">
            <w:pPr>
              <w:rPr>
                <w:rFonts w:ascii="Arial Narrow" w:eastAsia="Arial Narrow" w:hAnsi="Arial Narrow" w:cs="Arial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Pre-clinical Medical Student Representative </w:t>
            </w:r>
          </w:p>
        </w:tc>
      </w:tr>
      <w:tr w:rsidR="0023598B" w:rsidRPr="00622D20" w14:paraId="4E217FD0" w14:textId="77777777">
        <w:tc>
          <w:tcPr>
            <w:tcW w:w="2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5DE1795" w14:textId="77777777" w:rsidR="0023598B" w:rsidRPr="00622D20" w:rsidRDefault="00F97BC2">
            <w:pPr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  <w:t>Elected:</w:t>
            </w:r>
          </w:p>
        </w:tc>
        <w:tc>
          <w:tcPr>
            <w:tcW w:w="8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3B9DCD" w14:textId="77777777" w:rsidR="0023598B" w:rsidRPr="00622D20" w:rsidRDefault="00F97BC2">
            <w:pPr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At AGM, by secret ballot</w:t>
            </w:r>
          </w:p>
        </w:tc>
      </w:tr>
      <w:tr w:rsidR="0023598B" w:rsidRPr="00622D20" w14:paraId="52DA672F" w14:textId="77777777">
        <w:tc>
          <w:tcPr>
            <w:tcW w:w="2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76312D32" w14:textId="77777777" w:rsidR="0023598B" w:rsidRPr="00622D20" w:rsidRDefault="00F97BC2">
            <w:pPr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Position description and main roles: </w:t>
            </w:r>
          </w:p>
        </w:tc>
        <w:tc>
          <w:tcPr>
            <w:tcW w:w="8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7A7675" w14:textId="57169C01" w:rsidR="002B18A4" w:rsidRPr="00622D20" w:rsidRDefault="002B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Educate, Inspire, Empower.</w:t>
            </w:r>
          </w:p>
          <w:p w14:paraId="568B6C97" w14:textId="49C56ADB" w:rsidR="002B18A4" w:rsidRPr="00622D20" w:rsidRDefault="002B18A4" w:rsidP="002B18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The 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Pre-Clinical Medical Student Representative </w:t>
            </w: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helps to educate students </w:t>
            </w:r>
            <w:r w:rsidR="009646B5" w:rsidRPr="00622D20">
              <w:rPr>
                <w:rFonts w:ascii="Arial Narrow" w:eastAsia="Arial Narrow" w:hAnsi="Arial Narrow" w:cs="Arial"/>
                <w:sz w:val="22"/>
                <w:szCs w:val="22"/>
              </w:rPr>
              <w:t>about opportunities to become involved in global health and the work of Insight by assisting with Insight’s Orientation Week stall and running the ‘Get to Know Insight’ event.</w:t>
            </w: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 They inspire </w:t>
            </w:r>
            <w:r w:rsidR="009646B5" w:rsidRPr="00622D20">
              <w:rPr>
                <w:rFonts w:ascii="Arial Narrow" w:eastAsia="Arial Narrow" w:hAnsi="Arial Narrow" w:cs="Arial"/>
                <w:sz w:val="22"/>
                <w:szCs w:val="22"/>
              </w:rPr>
              <w:t>pre-clinical medical</w:t>
            </w: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 students to become involved in global health by increasing awareness of</w:t>
            </w:r>
            <w:r w:rsidR="009646B5"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 the major issues surrounding global health, engaging students with</w:t>
            </w: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 </w:t>
            </w:r>
            <w:r w:rsidR="009646B5" w:rsidRPr="00622D20">
              <w:rPr>
                <w:rFonts w:ascii="Arial Narrow" w:eastAsia="Arial Narrow" w:hAnsi="Arial Narrow" w:cs="Arial"/>
                <w:sz w:val="22"/>
                <w:szCs w:val="22"/>
              </w:rPr>
              <w:t>Insight’s initiatives and advocacy, and promoting attendance at Insight’s events.</w:t>
            </w: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 They empower students to take action in global health by upskilling students through the </w:t>
            </w:r>
            <w:r w:rsidR="009646B5" w:rsidRPr="00622D20">
              <w:rPr>
                <w:rFonts w:ascii="Arial Narrow" w:eastAsia="Arial Narrow" w:hAnsi="Arial Narrow" w:cs="Arial"/>
                <w:sz w:val="22"/>
                <w:szCs w:val="22"/>
              </w:rPr>
              <w:t>pre-clinical</w:t>
            </w: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 subcommittee</w:t>
            </w:r>
            <w:r w:rsidR="009646B5"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 and improving Insight’s accessibility to younger students, particularly first years.</w:t>
            </w:r>
          </w:p>
          <w:p w14:paraId="196BC5AE" w14:textId="77777777" w:rsidR="002B18A4" w:rsidRPr="00622D20" w:rsidRDefault="002B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</w:p>
          <w:p w14:paraId="559AFA24" w14:textId="6451939F" w:rsidR="002B18A4" w:rsidRPr="00622D20" w:rsidRDefault="002B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Main Roles:</w:t>
            </w:r>
          </w:p>
          <w:p w14:paraId="13CC5FB8" w14:textId="76CAEE4F" w:rsidR="002B18A4" w:rsidRPr="00622D20" w:rsidRDefault="00F9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The </w:t>
            </w:r>
            <w:r w:rsidR="002B18A4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Pre-Clinical Medical Student Representative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 serves as a liaison between pre-clinical students and Insight. This involves but isn’t limited to </w:t>
            </w:r>
            <w:r w:rsidR="002B18A4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assisting in the running of Insight’s Orientation Week stall, organising the ‘Get to Know Insight’ event </w:t>
            </w:r>
            <w:r w:rsidR="009646B5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following Orientation Week,</w:t>
            </w:r>
            <w:r w:rsidR="002B18A4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marketing Insight events to pre-clinical students, increasing awareness of Insight’s work and goals in the medical school and generally getting pre-clinical students keen about global health. </w:t>
            </w:r>
          </w:p>
          <w:p w14:paraId="41B82076" w14:textId="77777777" w:rsidR="002B18A4" w:rsidRPr="00622D20" w:rsidRDefault="002B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</w:p>
          <w:p w14:paraId="579FC0D0" w14:textId="24D1C0E7" w:rsidR="0023598B" w:rsidRPr="00622D20" w:rsidRDefault="00F9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A recent initiative has been for the </w:t>
            </w:r>
            <w:r w:rsidR="002B18A4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Pre-Clinical Medical Student Representative 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to organise and chair a pre-clinical subcommittee involving students from years 1 – 3. The goal</w:t>
            </w:r>
            <w:r w:rsidR="009646B5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s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 of this sub-committee </w:t>
            </w:r>
            <w:r w:rsidR="009646B5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have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 been to cultivate passion for Insight and global health in younger medical students</w:t>
            </w:r>
            <w:r w:rsidR="009646B5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 and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9646B5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provide 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an opportunity to</w:t>
            </w:r>
            <w:r w:rsidR="009646B5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 pre-clinical medical students to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 see how Insight works by helping out at events and attending meetings</w:t>
            </w:r>
            <w:r w:rsidR="009646B5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.</w:t>
            </w:r>
          </w:p>
          <w:p w14:paraId="4406F091" w14:textId="77777777" w:rsidR="002B18A4" w:rsidRPr="00622D20" w:rsidRDefault="002B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</w:p>
          <w:p w14:paraId="02F32269" w14:textId="77777777" w:rsidR="002B18A4" w:rsidRPr="00622D20" w:rsidRDefault="00F97BC2" w:rsidP="002B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The </w:t>
            </w:r>
            <w:r w:rsidR="002B18A4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Pre-Clinical Medical Student Representative 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will communicate with membership officer and sponsorship officer to help find a suitable time and organise events targeted for pre-clinical students.</w:t>
            </w:r>
          </w:p>
          <w:p w14:paraId="593DE99A" w14:textId="77777777" w:rsidR="002B18A4" w:rsidRPr="00622D20" w:rsidRDefault="002B18A4" w:rsidP="002B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</w:p>
          <w:p w14:paraId="00B24A56" w14:textId="6CC45B22" w:rsidR="0023598B" w:rsidRPr="00622D20" w:rsidRDefault="00F97BC2" w:rsidP="002B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The </w:t>
            </w:r>
            <w:r w:rsidR="002B18A4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Pre-Clinical Medical Student Representative 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role is a fantastic way to get to know and share ideas about global health with like-minded students. This role is open to expansion and new ideas. </w:t>
            </w:r>
          </w:p>
        </w:tc>
      </w:tr>
      <w:tr w:rsidR="0023598B" w:rsidRPr="00622D20" w14:paraId="0DE6C92F" w14:textId="77777777">
        <w:tc>
          <w:tcPr>
            <w:tcW w:w="2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1FB55AC8" w14:textId="77777777" w:rsidR="0023598B" w:rsidRPr="00622D20" w:rsidRDefault="00F97BC2">
            <w:pPr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  <w:t>Positives of position:</w:t>
            </w:r>
          </w:p>
        </w:tc>
        <w:tc>
          <w:tcPr>
            <w:tcW w:w="8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425465" w14:textId="77777777" w:rsidR="00ED45C4" w:rsidRPr="00622D20" w:rsidRDefault="00F97BC2" w:rsidP="00ED45C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Working with and getting to know enthusiastic, like-minded people both within the Insight committee and pre-clinical sub-committee</w:t>
            </w:r>
          </w:p>
          <w:p w14:paraId="53C0F71C" w14:textId="77777777" w:rsidR="00ED45C4" w:rsidRPr="00622D20" w:rsidRDefault="00F97BC2" w:rsidP="00ED45C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Develop leadership skills </w:t>
            </w:r>
          </w:p>
          <w:p w14:paraId="2A4DB183" w14:textId="77777777" w:rsidR="00ED45C4" w:rsidRPr="00622D20" w:rsidRDefault="00F97BC2" w:rsidP="00ED45C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Learning more about Insight and pertinent global health issues </w:t>
            </w:r>
          </w:p>
          <w:p w14:paraId="4334B756" w14:textId="77777777" w:rsidR="00ED45C4" w:rsidRPr="00622D20" w:rsidRDefault="00F97BC2" w:rsidP="00ED45C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Flexibility and potential to expand this role </w:t>
            </w:r>
          </w:p>
          <w:p w14:paraId="11FF6588" w14:textId="00326108" w:rsidR="0023598B" w:rsidRPr="00622D20" w:rsidRDefault="00F97BC2" w:rsidP="00ED45C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Excellent opportunity to get to know </w:t>
            </w:r>
            <w:r w:rsidR="00ED45C4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I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nsight more and inspire pre</w:t>
            </w:r>
            <w:r w:rsidR="009646B5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-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clinical students </w:t>
            </w:r>
          </w:p>
        </w:tc>
      </w:tr>
      <w:tr w:rsidR="0023598B" w:rsidRPr="00622D20" w14:paraId="28AB71F0" w14:textId="77777777">
        <w:tc>
          <w:tcPr>
            <w:tcW w:w="2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9C0BB15" w14:textId="77777777" w:rsidR="0023598B" w:rsidRPr="00622D20" w:rsidRDefault="00F97BC2">
            <w:pPr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  <w:t>Negatives of position:</w:t>
            </w:r>
          </w:p>
        </w:tc>
        <w:tc>
          <w:tcPr>
            <w:tcW w:w="8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D5F883" w14:textId="569DB7E9" w:rsidR="0023598B" w:rsidRPr="00622D20" w:rsidRDefault="00F97BC2" w:rsidP="00ED45C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Pre-clinical students sometimes not responding to marketing of Insight</w:t>
            </w:r>
          </w:p>
        </w:tc>
      </w:tr>
      <w:tr w:rsidR="0023598B" w:rsidRPr="00622D20" w14:paraId="161F021D" w14:textId="77777777">
        <w:tc>
          <w:tcPr>
            <w:tcW w:w="2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43ECE71" w14:textId="77777777" w:rsidR="0023598B" w:rsidRPr="00622D20" w:rsidRDefault="00F97BC2">
            <w:pPr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  <w:t>Time required:</w:t>
            </w:r>
          </w:p>
        </w:tc>
        <w:tc>
          <w:tcPr>
            <w:tcW w:w="8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829F1E" w14:textId="77777777" w:rsidR="0023598B" w:rsidRPr="00622D20" w:rsidRDefault="00F9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Varies, depending if organising or helping out at events, 1 hour/week. Little bit more when helping out at preclinical events. </w:t>
            </w:r>
          </w:p>
        </w:tc>
      </w:tr>
      <w:tr w:rsidR="0023598B" w:rsidRPr="00622D20" w14:paraId="4F600CF9" w14:textId="77777777">
        <w:tc>
          <w:tcPr>
            <w:tcW w:w="2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EA0DF90" w14:textId="77777777" w:rsidR="0023598B" w:rsidRPr="00622D20" w:rsidRDefault="00F97BC2">
            <w:pPr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  <w:t>Ideas for the future:</w:t>
            </w:r>
          </w:p>
        </w:tc>
        <w:tc>
          <w:tcPr>
            <w:tcW w:w="8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A9C2D4" w14:textId="6C222AAC" w:rsidR="009646B5" w:rsidRPr="00622D20" w:rsidRDefault="00F97BC2" w:rsidP="009646B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Continuation of </w:t>
            </w:r>
            <w:r w:rsidR="009646B5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p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re-</w:t>
            </w:r>
            <w:r w:rsidR="009646B5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c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linical subcommittee</w:t>
            </w:r>
          </w:p>
          <w:p w14:paraId="20124628" w14:textId="77777777" w:rsidR="009646B5" w:rsidRPr="00622D20" w:rsidRDefault="00F97BC2" w:rsidP="009646B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Increasing </w:t>
            </w:r>
            <w:r w:rsidR="002B18A4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pre-clinical 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awareness</w:t>
            </w:r>
            <w:r w:rsidR="002B18A4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 of and engagement with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 Insight </w:t>
            </w:r>
            <w:r w:rsidR="002B18A4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events, advocacy and initiatives</w:t>
            </w:r>
          </w:p>
          <w:p w14:paraId="672346CD" w14:textId="10FD634B" w:rsidR="0023598B" w:rsidRPr="00622D20" w:rsidRDefault="002B18A4" w:rsidP="009646B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Mobilising </w:t>
            </w:r>
            <w:r w:rsidR="009646B5"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pre-clinical </w:t>
            </w: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>subcommittee to help with advocacy,</w:t>
            </w:r>
            <w:r w:rsidR="00F97BC2"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 at events</w:t>
            </w: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, </w:t>
            </w:r>
            <w:r w:rsidR="00F97BC2"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with </w:t>
            </w: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>promotion</w:t>
            </w:r>
            <w:r w:rsidR="00F97BC2"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 etc</w:t>
            </w:r>
            <w:r w:rsidR="009646B5" w:rsidRPr="00622D20">
              <w:rPr>
                <w:rFonts w:ascii="Arial Narrow" w:eastAsia="Arial Narrow" w:hAnsi="Arial Narrow" w:cs="Arial"/>
                <w:sz w:val="22"/>
                <w:szCs w:val="22"/>
              </w:rPr>
              <w:t>.</w:t>
            </w:r>
          </w:p>
        </w:tc>
      </w:tr>
      <w:tr w:rsidR="0023598B" w:rsidRPr="00622D20" w14:paraId="129CAF6F" w14:textId="77777777">
        <w:tc>
          <w:tcPr>
            <w:tcW w:w="2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2DE98E1" w14:textId="77777777" w:rsidR="0023598B" w:rsidRPr="00622D20" w:rsidRDefault="00F97BC2">
            <w:pPr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  <w:t>Experience required:</w:t>
            </w:r>
          </w:p>
        </w:tc>
        <w:tc>
          <w:tcPr>
            <w:tcW w:w="8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9BC336" w14:textId="13BE9734" w:rsidR="0023598B" w:rsidRPr="00622D20" w:rsidRDefault="00F97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No formal experience required, just </w:t>
            </w:r>
            <w:r w:rsidR="008B5A44"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enthusiasm</w:t>
            </w: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! </w:t>
            </w:r>
          </w:p>
        </w:tc>
      </w:tr>
      <w:tr w:rsidR="0023598B" w:rsidRPr="00622D20" w14:paraId="5324E373" w14:textId="77777777">
        <w:tc>
          <w:tcPr>
            <w:tcW w:w="2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2002ED5F" w14:textId="77777777" w:rsidR="0023598B" w:rsidRPr="00622D20" w:rsidRDefault="00F97BC2">
            <w:pPr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b/>
                <w:bCs/>
                <w:color w:val="000000"/>
                <w:sz w:val="22"/>
                <w:szCs w:val="22"/>
              </w:rPr>
              <w:t>Past office bearers:</w:t>
            </w:r>
          </w:p>
        </w:tc>
        <w:tc>
          <w:tcPr>
            <w:tcW w:w="8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24138D" w14:textId="78DF273A" w:rsidR="002B18A4" w:rsidRPr="00622D20" w:rsidRDefault="002B18A4">
            <w:pPr>
              <w:rPr>
                <w:rFonts w:ascii="Arial Narrow" w:eastAsia="Arial Narrow" w:hAnsi="Arial Narrow" w:cs="Arial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>2019: Stevie Young (MBBS II)</w:t>
            </w:r>
          </w:p>
          <w:p w14:paraId="2B592A42" w14:textId="0197AC16" w:rsidR="0023598B" w:rsidRPr="00622D20" w:rsidRDefault="00F97BC2">
            <w:pPr>
              <w:rPr>
                <w:rFonts w:ascii="Arial Narrow" w:eastAsia="Arial Narrow" w:hAnsi="Arial Narrow" w:cs="Arial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2018: </w:t>
            </w:r>
            <w:r w:rsidR="002B18A4" w:rsidRPr="00622D20">
              <w:rPr>
                <w:rFonts w:ascii="Arial Narrow" w:eastAsia="Arial Narrow" w:hAnsi="Arial Narrow" w:cs="Arial"/>
                <w:sz w:val="22"/>
                <w:szCs w:val="22"/>
              </w:rPr>
              <w:t>Eleanor</w:t>
            </w: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 Thompkins (MBBS II)</w:t>
            </w:r>
          </w:p>
          <w:p w14:paraId="16B6EA2A" w14:textId="77777777" w:rsidR="0023598B" w:rsidRPr="00622D20" w:rsidRDefault="00F97BC2">
            <w:pPr>
              <w:rPr>
                <w:rFonts w:ascii="Arial Narrow" w:eastAsia="Arial Narrow" w:hAnsi="Arial Narrow" w:cs="Arial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sz w:val="22"/>
                <w:szCs w:val="22"/>
              </w:rPr>
              <w:t xml:space="preserve">2017: Jennifer Hughes (MBBS III) </w:t>
            </w:r>
          </w:p>
          <w:p w14:paraId="02420BFA" w14:textId="77777777" w:rsidR="0023598B" w:rsidRPr="00622D20" w:rsidRDefault="00F97BC2">
            <w:pPr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2016: Bora Jeong (MBBSIII)</w:t>
            </w:r>
          </w:p>
          <w:p w14:paraId="3AD22A92" w14:textId="77777777" w:rsidR="0023598B" w:rsidRPr="00622D20" w:rsidRDefault="00F97BC2">
            <w:pPr>
              <w:rPr>
                <w:rFonts w:ascii="Arial Narrow" w:eastAsia="Arial Narrow" w:hAnsi="Arial Narrow" w:cs="Arial"/>
                <w:color w:val="000000"/>
                <w:sz w:val="22"/>
                <w:szCs w:val="22"/>
                <w:lang w:val="pt-BR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  <w:lang w:val="pt-BR"/>
              </w:rPr>
              <w:t>2015: Monica Chen (MBBS III)</w:t>
            </w:r>
          </w:p>
          <w:p w14:paraId="2BB7F816" w14:textId="77777777" w:rsidR="0023598B" w:rsidRPr="00622D20" w:rsidRDefault="00F97BC2">
            <w:pPr>
              <w:rPr>
                <w:rFonts w:ascii="Arial Narrow" w:eastAsia="Arial Narrow" w:hAnsi="Arial Narrow" w:cs="Arial"/>
                <w:color w:val="000000"/>
                <w:sz w:val="22"/>
                <w:szCs w:val="22"/>
                <w:lang w:val="pt-BR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  <w:lang w:val="pt-BR"/>
              </w:rPr>
              <w:lastRenderedPageBreak/>
              <w:t>2014: Tom O’Neil (MBBS III)</w:t>
            </w:r>
          </w:p>
          <w:p w14:paraId="4BB534B1" w14:textId="77777777" w:rsidR="0023598B" w:rsidRPr="00622D20" w:rsidRDefault="00F97BC2">
            <w:pPr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 xml:space="preserve">2013: Alyssa Pradhan (MBBS II) </w:t>
            </w:r>
          </w:p>
          <w:p w14:paraId="01B335D5" w14:textId="77777777" w:rsidR="0023598B" w:rsidRPr="00622D20" w:rsidRDefault="00F97BC2">
            <w:pPr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</w:pPr>
            <w:r w:rsidRPr="00622D20">
              <w:rPr>
                <w:rFonts w:ascii="Arial Narrow" w:eastAsia="Arial Narrow" w:hAnsi="Arial Narrow" w:cs="Arial"/>
                <w:color w:val="000000"/>
                <w:sz w:val="22"/>
                <w:szCs w:val="22"/>
              </w:rPr>
              <w:t>2012: Edwina Munns-Cook (MBBS III)</w:t>
            </w:r>
          </w:p>
        </w:tc>
      </w:tr>
      <w:bookmarkEnd w:id="0"/>
    </w:tbl>
    <w:p w14:paraId="4936A006" w14:textId="77777777" w:rsidR="0023598B" w:rsidRPr="00622D20" w:rsidRDefault="0023598B">
      <w:pPr>
        <w:rPr>
          <w:rFonts w:ascii="Arial Narrow" w:hAnsi="Arial Narrow" w:cs="Arial"/>
        </w:rPr>
      </w:pPr>
    </w:p>
    <w:sectPr w:rsidR="0023598B" w:rsidRPr="00622D20">
      <w:headerReference w:type="default" r:id="rId9"/>
      <w:pgSz w:w="11907" w:h="16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1A12" w14:textId="77777777" w:rsidR="002A23A8" w:rsidRDefault="002A23A8">
      <w:r>
        <w:separator/>
      </w:r>
    </w:p>
  </w:endnote>
  <w:endnote w:type="continuationSeparator" w:id="0">
    <w:p w14:paraId="4FEFEF8A" w14:textId="77777777" w:rsidR="002A23A8" w:rsidRDefault="002A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BB4A" w14:textId="77777777" w:rsidR="002A23A8" w:rsidRDefault="002A23A8">
      <w:r>
        <w:separator/>
      </w:r>
    </w:p>
  </w:footnote>
  <w:footnote w:type="continuationSeparator" w:id="0">
    <w:p w14:paraId="1197677D" w14:textId="77777777" w:rsidR="002A23A8" w:rsidRDefault="002A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62B9" w14:textId="77777777" w:rsidR="0023598B" w:rsidRDefault="002359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28C"/>
    <w:multiLevelType w:val="hybridMultilevel"/>
    <w:tmpl w:val="C4D21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20B60"/>
    <w:multiLevelType w:val="hybridMultilevel"/>
    <w:tmpl w:val="71F8B484"/>
    <w:lvl w:ilvl="0" w:tplc="F3F49D42">
      <w:numFmt w:val="bullet"/>
      <w:lvlText w:val=""/>
      <w:lvlJc w:val="left"/>
      <w:pPr>
        <w:ind w:left="360" w:hanging="360"/>
      </w:pPr>
      <w:rPr>
        <w:rFonts w:ascii="Symbol" w:eastAsia="Arial Narrow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F5DCD"/>
    <w:multiLevelType w:val="multilevel"/>
    <w:tmpl w:val="99D28D2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35291331"/>
    <w:multiLevelType w:val="multilevel"/>
    <w:tmpl w:val="F0BE34B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7BA410C2"/>
    <w:multiLevelType w:val="hybridMultilevel"/>
    <w:tmpl w:val="76F03DAE"/>
    <w:lvl w:ilvl="0" w:tplc="BCF6AC2A">
      <w:numFmt w:val="bullet"/>
      <w:lvlText w:val=""/>
      <w:lvlJc w:val="left"/>
      <w:pPr>
        <w:ind w:left="360" w:hanging="360"/>
      </w:pPr>
      <w:rPr>
        <w:rFonts w:ascii="Symbol" w:eastAsia="Arial Narrow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zNgBCExMDMxMTYyUdpeDU4uLM/DyQAsNaAP9Jd9EsAAAA"/>
  </w:docVars>
  <w:rsids>
    <w:rsidRoot w:val="0023598B"/>
    <w:rsid w:val="0023598B"/>
    <w:rsid w:val="002A23A8"/>
    <w:rsid w:val="002B18A4"/>
    <w:rsid w:val="005E3A64"/>
    <w:rsid w:val="00622D20"/>
    <w:rsid w:val="008B5A44"/>
    <w:rsid w:val="009646B5"/>
    <w:rsid w:val="00ED45C4"/>
    <w:rsid w:val="00F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ACFB"/>
  <w15:docId w15:val="{55B67741-F9F5-4165-A702-01C1164C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2B18A4"/>
    <w:rPr>
      <w:lang w:eastAsia="en-US"/>
    </w:rPr>
  </w:style>
  <w:style w:type="paragraph" w:styleId="ListParagraph">
    <w:name w:val="List Paragraph"/>
    <w:basedOn w:val="Normal"/>
    <w:uiPriority w:val="34"/>
    <w:qFormat/>
    <w:rsid w:val="0096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lin@insigh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Thompkins</dc:creator>
  <cp:lastModifiedBy>Jerida Burgess</cp:lastModifiedBy>
  <cp:revision>3</cp:revision>
  <dcterms:created xsi:type="dcterms:W3CDTF">2019-09-22T13:12:00Z</dcterms:created>
  <dcterms:modified xsi:type="dcterms:W3CDTF">2019-09-30T23:37:00Z</dcterms:modified>
</cp:coreProperties>
</file>