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6A0EE" w14:textId="77777777" w:rsidR="00B96602" w:rsidRPr="00B368D7" w:rsidRDefault="00492A2D" w:rsidP="00B96602">
      <w:pPr>
        <w:ind w:left="-1200"/>
        <w:rPr>
          <w:rFonts w:ascii="Belleza" w:eastAsia="Belleza" w:hAnsi="Belleza" w:cs="Belleza"/>
          <w:b/>
          <w:color w:val="00004C"/>
          <w:sz w:val="32"/>
          <w:szCs w:val="32"/>
        </w:rPr>
      </w:pPr>
      <w:r w:rsidRPr="00B368D7">
        <w:rPr>
          <w:rFonts w:ascii="Belleza" w:eastAsia="Belleza" w:hAnsi="Belleza" w:cs="Belleza"/>
          <w:b/>
          <w:color w:val="00004C"/>
          <w:sz w:val="32"/>
          <w:szCs w:val="32"/>
        </w:rPr>
        <w:t>Indigenous Health Officer</w:t>
      </w:r>
      <w:r w:rsidRPr="00B368D7">
        <w:rPr>
          <w:rFonts w:ascii="Belleza" w:hAnsi="Belleza"/>
          <w:noProof/>
        </w:rPr>
        <w:drawing>
          <wp:anchor distT="0" distB="0" distL="114300" distR="114300" simplePos="0" relativeHeight="251658240" behindDoc="0" locked="0" layoutInCell="1" hidden="0" allowOverlap="1" wp14:anchorId="086B21B4" wp14:editId="10F8AF7D">
            <wp:simplePos x="0" y="0"/>
            <wp:positionH relativeFrom="margin">
              <wp:posOffset>4316469</wp:posOffset>
            </wp:positionH>
            <wp:positionV relativeFrom="paragraph">
              <wp:posOffset>-857884</wp:posOffset>
            </wp:positionV>
            <wp:extent cx="2176145" cy="719455"/>
            <wp:effectExtent l="0" t="0" r="0" b="0"/>
            <wp:wrapNone/>
            <wp:docPr id="1" name="image2.jpg" descr="G:\Insight\Insight Secretary Handover 2011\Insight logo_blue_neat edges.jpg"/>
            <wp:cNvGraphicFramePr/>
            <a:graphic xmlns:a="http://schemas.openxmlformats.org/drawingml/2006/main">
              <a:graphicData uri="http://schemas.openxmlformats.org/drawingml/2006/picture">
                <pic:pic xmlns:pic="http://schemas.openxmlformats.org/drawingml/2006/picture">
                  <pic:nvPicPr>
                    <pic:cNvPr id="0" name="image2.jpg" descr="G:\Insight\Insight Secretary Handover 2011\Insight logo_blue_neat edges.jpg"/>
                    <pic:cNvPicPr preferRelativeResize="0"/>
                  </pic:nvPicPr>
                  <pic:blipFill>
                    <a:blip r:embed="rId7"/>
                    <a:srcRect/>
                    <a:stretch>
                      <a:fillRect/>
                    </a:stretch>
                  </pic:blipFill>
                  <pic:spPr>
                    <a:xfrm>
                      <a:off x="0" y="0"/>
                      <a:ext cx="2176145" cy="719455"/>
                    </a:xfrm>
                    <a:prstGeom prst="rect">
                      <a:avLst/>
                    </a:prstGeom>
                    <a:ln/>
                  </pic:spPr>
                </pic:pic>
              </a:graphicData>
            </a:graphic>
          </wp:anchor>
        </w:drawing>
      </w:r>
    </w:p>
    <w:p w14:paraId="18A7514A" w14:textId="04D42446" w:rsidR="00740379" w:rsidRPr="00B368D7" w:rsidRDefault="00B96602" w:rsidP="00B96602">
      <w:pPr>
        <w:ind w:left="-1200"/>
        <w:rPr>
          <w:rFonts w:ascii="Belleza" w:eastAsia="Belleza" w:hAnsi="Belleza" w:cs="Belleza"/>
          <w:b/>
          <w:color w:val="00004C"/>
          <w:sz w:val="32"/>
          <w:szCs w:val="32"/>
        </w:rPr>
      </w:pPr>
      <w:proofErr w:type="spellStart"/>
      <w:r w:rsidRPr="00B368D7">
        <w:rPr>
          <w:rFonts w:ascii="Belleza" w:eastAsia="Belleza" w:hAnsi="Belleza" w:cs="Belleza"/>
          <w:b/>
          <w:color w:val="4A86E8"/>
        </w:rPr>
        <w:t>Vishak</w:t>
      </w:r>
      <w:proofErr w:type="spellEnd"/>
      <w:r w:rsidRPr="00B368D7">
        <w:rPr>
          <w:rFonts w:ascii="Belleza" w:eastAsia="Belleza" w:hAnsi="Belleza" w:cs="Belleza"/>
          <w:b/>
          <w:color w:val="4A86E8"/>
        </w:rPr>
        <w:t xml:space="preserve"> Senthil </w:t>
      </w:r>
      <w:r w:rsidR="00492A2D" w:rsidRPr="00B368D7">
        <w:rPr>
          <w:rFonts w:ascii="Belleza" w:eastAsia="Belleza" w:hAnsi="Belleza" w:cs="Belleza"/>
          <w:b/>
          <w:color w:val="4A86E8"/>
        </w:rPr>
        <w:t>(</w:t>
      </w:r>
      <w:r w:rsidRPr="00B368D7">
        <w:rPr>
          <w:rFonts w:ascii="Belleza" w:eastAsia="Belleza" w:hAnsi="Belleza" w:cs="Belleza"/>
          <w:b/>
          <w:color w:val="4A86E8"/>
        </w:rPr>
        <w:t>MBBS II</w:t>
      </w:r>
      <w:r w:rsidR="00492A2D" w:rsidRPr="00B368D7">
        <w:rPr>
          <w:rFonts w:ascii="Belleza" w:eastAsia="Belleza" w:hAnsi="Belleza" w:cs="Belleza"/>
          <w:b/>
          <w:color w:val="4A86E8"/>
        </w:rPr>
        <w:t xml:space="preserve">) </w:t>
      </w:r>
    </w:p>
    <w:p w14:paraId="65E6510F" w14:textId="77777777" w:rsidR="00740379" w:rsidRPr="00B368D7" w:rsidRDefault="00A5523F">
      <w:pPr>
        <w:ind w:left="-1200"/>
        <w:rPr>
          <w:rFonts w:ascii="Belleza" w:eastAsia="Belleza" w:hAnsi="Belleza" w:cs="Belleza"/>
          <w:b/>
          <w:color w:val="A50021"/>
        </w:rPr>
      </w:pPr>
      <w:hyperlink r:id="rId8">
        <w:r w:rsidR="00492A2D" w:rsidRPr="00B368D7">
          <w:rPr>
            <w:rFonts w:ascii="Belleza" w:eastAsia="Belleza" w:hAnsi="Belleza" w:cs="Belleza"/>
            <w:b/>
            <w:color w:val="1155CC"/>
            <w:u w:val="single"/>
          </w:rPr>
          <w:t>indigenous@insight.org.au</w:t>
        </w:r>
      </w:hyperlink>
      <w:r w:rsidR="00492A2D" w:rsidRPr="00B368D7">
        <w:rPr>
          <w:rFonts w:ascii="Belleza" w:eastAsia="Belleza" w:hAnsi="Belleza" w:cs="Belleza"/>
          <w:b/>
          <w:color w:val="A50021"/>
        </w:rPr>
        <w:t xml:space="preserve"> </w:t>
      </w:r>
    </w:p>
    <w:p w14:paraId="4FC089BC" w14:textId="77777777" w:rsidR="00740379" w:rsidRDefault="00740379">
      <w:pPr>
        <w:ind w:left="-1200"/>
        <w:rPr>
          <w:rFonts w:ascii="Arial" w:eastAsia="Arial" w:hAnsi="Arial" w:cs="Arial"/>
          <w:sz w:val="19"/>
          <w:szCs w:val="19"/>
          <w:highlight w:val="white"/>
        </w:rPr>
      </w:pPr>
      <w:bookmarkStart w:id="0" w:name="_gjdgxs" w:colFirst="0" w:colLast="0"/>
      <w:bookmarkEnd w:id="0"/>
    </w:p>
    <w:tbl>
      <w:tblPr>
        <w:tblStyle w:val="a"/>
        <w:tblW w:w="10560" w:type="dxa"/>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5"/>
        <w:gridCol w:w="8415"/>
      </w:tblGrid>
      <w:tr w:rsidR="00740379" w:rsidRPr="000C4B7D" w14:paraId="0C8E1460" w14:textId="77777777">
        <w:tc>
          <w:tcPr>
            <w:tcW w:w="2145" w:type="dxa"/>
            <w:tcBorders>
              <w:top w:val="single" w:sz="4" w:space="0" w:color="FFFFFF"/>
              <w:left w:val="single" w:sz="4" w:space="0" w:color="FFFFFF"/>
              <w:bottom w:val="single" w:sz="4" w:space="0" w:color="FFFFFF"/>
              <w:right w:val="single" w:sz="4" w:space="0" w:color="FFFFFF"/>
            </w:tcBorders>
            <w:shd w:val="clear" w:color="auto" w:fill="C9DAF8"/>
          </w:tcPr>
          <w:p w14:paraId="2870D09C" w14:textId="77777777" w:rsidR="00740379" w:rsidRPr="004036DE" w:rsidRDefault="00492A2D">
            <w:pPr>
              <w:rPr>
                <w:rFonts w:ascii="Arial Narrow" w:eastAsia="Arial Narrow" w:hAnsi="Arial Narrow" w:cs="Arial"/>
                <w:b/>
                <w:bCs/>
                <w:sz w:val="22"/>
                <w:szCs w:val="22"/>
              </w:rPr>
            </w:pPr>
            <w:bookmarkStart w:id="1" w:name="_GoBack" w:colFirst="0" w:colLast="0"/>
            <w:r w:rsidRPr="004036DE">
              <w:rPr>
                <w:rFonts w:ascii="Arial Narrow" w:eastAsia="Arial Narrow" w:hAnsi="Arial Narrow" w:cs="Arial"/>
                <w:b/>
                <w:bCs/>
                <w:color w:val="000000"/>
                <w:sz w:val="22"/>
                <w:szCs w:val="22"/>
              </w:rPr>
              <w:t>Name of position:</w:t>
            </w:r>
          </w:p>
        </w:tc>
        <w:tc>
          <w:tcPr>
            <w:tcW w:w="8415" w:type="dxa"/>
            <w:tcBorders>
              <w:top w:val="single" w:sz="4" w:space="0" w:color="FFFFFF"/>
              <w:left w:val="single" w:sz="4" w:space="0" w:color="FFFFFF"/>
              <w:bottom w:val="single" w:sz="4" w:space="0" w:color="FFFFFF"/>
              <w:right w:val="single" w:sz="4" w:space="0" w:color="FFFFFF"/>
            </w:tcBorders>
          </w:tcPr>
          <w:p w14:paraId="0AFFA5F3" w14:textId="77777777" w:rsidR="00740379" w:rsidRPr="004036DE" w:rsidRDefault="00492A2D">
            <w:pPr>
              <w:rPr>
                <w:rFonts w:ascii="Arial Narrow" w:eastAsia="Arial Narrow" w:hAnsi="Arial Narrow" w:cs="Arial"/>
                <w:sz w:val="22"/>
                <w:szCs w:val="22"/>
              </w:rPr>
            </w:pPr>
            <w:r w:rsidRPr="004036DE">
              <w:rPr>
                <w:rFonts w:ascii="Arial Narrow" w:eastAsia="Arial Narrow" w:hAnsi="Arial Narrow" w:cs="Arial"/>
                <w:sz w:val="22"/>
                <w:szCs w:val="22"/>
              </w:rPr>
              <w:t>Indigenous Health Officer</w:t>
            </w:r>
          </w:p>
        </w:tc>
      </w:tr>
      <w:tr w:rsidR="00740379" w:rsidRPr="000C4B7D" w14:paraId="3CE8CC94" w14:textId="77777777">
        <w:tc>
          <w:tcPr>
            <w:tcW w:w="2145" w:type="dxa"/>
            <w:tcBorders>
              <w:top w:val="single" w:sz="4" w:space="0" w:color="FFFFFF"/>
              <w:left w:val="single" w:sz="4" w:space="0" w:color="FFFFFF"/>
              <w:bottom w:val="single" w:sz="4" w:space="0" w:color="FFFFFF"/>
              <w:right w:val="single" w:sz="4" w:space="0" w:color="FFFFFF"/>
            </w:tcBorders>
            <w:shd w:val="clear" w:color="auto" w:fill="C9DAF8"/>
          </w:tcPr>
          <w:p w14:paraId="41B06A16" w14:textId="77777777" w:rsidR="00740379" w:rsidRPr="004036DE" w:rsidRDefault="00492A2D">
            <w:pPr>
              <w:rPr>
                <w:rFonts w:ascii="Arial Narrow" w:eastAsia="Arial Narrow" w:hAnsi="Arial Narrow" w:cs="Arial"/>
                <w:b/>
                <w:bCs/>
                <w:color w:val="000000"/>
                <w:sz w:val="22"/>
                <w:szCs w:val="22"/>
              </w:rPr>
            </w:pPr>
            <w:r w:rsidRPr="004036DE">
              <w:rPr>
                <w:rFonts w:ascii="Arial Narrow" w:eastAsia="Arial Narrow" w:hAnsi="Arial Narrow" w:cs="Arial"/>
                <w:b/>
                <w:bCs/>
                <w:color w:val="000000"/>
                <w:sz w:val="22"/>
                <w:szCs w:val="22"/>
              </w:rPr>
              <w:t>Elected:</w:t>
            </w:r>
          </w:p>
        </w:tc>
        <w:tc>
          <w:tcPr>
            <w:tcW w:w="8415" w:type="dxa"/>
            <w:tcBorders>
              <w:top w:val="single" w:sz="4" w:space="0" w:color="FFFFFF"/>
              <w:left w:val="single" w:sz="4" w:space="0" w:color="FFFFFF"/>
              <w:bottom w:val="single" w:sz="4" w:space="0" w:color="FFFFFF"/>
              <w:right w:val="single" w:sz="4" w:space="0" w:color="FFFFFF"/>
            </w:tcBorders>
          </w:tcPr>
          <w:p w14:paraId="27E2A536" w14:textId="77777777" w:rsidR="00740379" w:rsidRPr="004036DE" w:rsidRDefault="00492A2D">
            <w:pPr>
              <w:rPr>
                <w:rFonts w:ascii="Arial Narrow" w:eastAsia="Arial Narrow" w:hAnsi="Arial Narrow" w:cs="Arial"/>
                <w:color w:val="000000"/>
                <w:sz w:val="22"/>
                <w:szCs w:val="22"/>
              </w:rPr>
            </w:pPr>
            <w:r w:rsidRPr="004036DE">
              <w:rPr>
                <w:rFonts w:ascii="Arial Narrow" w:eastAsia="Arial Narrow" w:hAnsi="Arial Narrow" w:cs="Arial"/>
                <w:color w:val="000000"/>
                <w:sz w:val="22"/>
                <w:szCs w:val="22"/>
              </w:rPr>
              <w:t>At AGM, by secret ballot</w:t>
            </w:r>
          </w:p>
        </w:tc>
      </w:tr>
      <w:tr w:rsidR="00740379" w:rsidRPr="000C4B7D" w14:paraId="71F4C563" w14:textId="77777777">
        <w:tc>
          <w:tcPr>
            <w:tcW w:w="2145" w:type="dxa"/>
            <w:tcBorders>
              <w:top w:val="single" w:sz="4" w:space="0" w:color="FFFFFF"/>
              <w:left w:val="single" w:sz="4" w:space="0" w:color="FFFFFF"/>
              <w:bottom w:val="single" w:sz="4" w:space="0" w:color="FFFFFF"/>
              <w:right w:val="single" w:sz="4" w:space="0" w:color="FFFFFF"/>
            </w:tcBorders>
            <w:shd w:val="clear" w:color="auto" w:fill="C9DAF8"/>
          </w:tcPr>
          <w:p w14:paraId="49FD19F0" w14:textId="77777777" w:rsidR="00740379" w:rsidRPr="004036DE" w:rsidRDefault="00492A2D">
            <w:pPr>
              <w:rPr>
                <w:rFonts w:ascii="Arial Narrow" w:eastAsia="Arial Narrow" w:hAnsi="Arial Narrow" w:cs="Arial"/>
                <w:b/>
                <w:bCs/>
                <w:color w:val="000000"/>
                <w:sz w:val="22"/>
                <w:szCs w:val="22"/>
              </w:rPr>
            </w:pPr>
            <w:r w:rsidRPr="004036DE">
              <w:rPr>
                <w:rFonts w:ascii="Arial Narrow" w:eastAsia="Arial Narrow" w:hAnsi="Arial Narrow" w:cs="Arial"/>
                <w:b/>
                <w:bCs/>
                <w:color w:val="000000"/>
                <w:sz w:val="22"/>
                <w:szCs w:val="22"/>
              </w:rPr>
              <w:t xml:space="preserve">Position description and main roles: </w:t>
            </w:r>
          </w:p>
        </w:tc>
        <w:tc>
          <w:tcPr>
            <w:tcW w:w="8415" w:type="dxa"/>
            <w:tcBorders>
              <w:top w:val="single" w:sz="4" w:space="0" w:color="FFFFFF"/>
              <w:left w:val="single" w:sz="4" w:space="0" w:color="FFFFFF"/>
              <w:bottom w:val="single" w:sz="4" w:space="0" w:color="FFFFFF"/>
              <w:right w:val="single" w:sz="4" w:space="0" w:color="FFFFFF"/>
            </w:tcBorders>
          </w:tcPr>
          <w:p w14:paraId="2B784C15" w14:textId="0BE4E20B" w:rsidR="00B96602" w:rsidRPr="004036DE" w:rsidRDefault="00B96602">
            <w:pPr>
              <w:pBdr>
                <w:top w:val="nil"/>
                <w:left w:val="nil"/>
                <w:bottom w:val="nil"/>
                <w:right w:val="nil"/>
                <w:between w:val="nil"/>
              </w:pBdr>
              <w:jc w:val="both"/>
              <w:rPr>
                <w:rFonts w:ascii="Arial Narrow" w:eastAsia="Arial Narrow" w:hAnsi="Arial Narrow" w:cs="Arial"/>
                <w:color w:val="000000"/>
                <w:sz w:val="22"/>
                <w:szCs w:val="22"/>
              </w:rPr>
            </w:pPr>
            <w:r w:rsidRPr="004036DE">
              <w:rPr>
                <w:rFonts w:ascii="Arial Narrow" w:eastAsia="Arial Narrow" w:hAnsi="Arial Narrow" w:cs="Arial"/>
                <w:color w:val="000000"/>
                <w:sz w:val="22"/>
                <w:szCs w:val="22"/>
              </w:rPr>
              <w:t>Educate, Inspire, Empower.</w:t>
            </w:r>
          </w:p>
          <w:p w14:paraId="7763BE4F" w14:textId="40BDFBCD" w:rsidR="00B96602" w:rsidRPr="004036DE" w:rsidRDefault="00B96602" w:rsidP="00B96602">
            <w:pPr>
              <w:pBdr>
                <w:top w:val="nil"/>
                <w:left w:val="nil"/>
                <w:bottom w:val="nil"/>
                <w:right w:val="nil"/>
                <w:between w:val="nil"/>
              </w:pBdr>
              <w:contextualSpacing/>
              <w:jc w:val="both"/>
              <w:rPr>
                <w:rFonts w:ascii="Arial Narrow" w:eastAsia="Arial Narrow" w:hAnsi="Arial Narrow" w:cs="Arial"/>
                <w:color w:val="000000"/>
                <w:sz w:val="22"/>
                <w:szCs w:val="22"/>
              </w:rPr>
            </w:pPr>
            <w:r w:rsidRPr="004036DE">
              <w:rPr>
                <w:rFonts w:ascii="Arial Narrow" w:eastAsia="Arial Narrow" w:hAnsi="Arial Narrow" w:cs="Arial"/>
                <w:sz w:val="22"/>
                <w:szCs w:val="22"/>
              </w:rPr>
              <w:t xml:space="preserve">The Indigenous Health Officer helps to educate students </w:t>
            </w:r>
            <w:r w:rsidRPr="004036DE">
              <w:rPr>
                <w:rFonts w:ascii="Arial Narrow" w:eastAsia="Arial Narrow" w:hAnsi="Arial Narrow" w:cs="Arial"/>
                <w:color w:val="000000"/>
                <w:sz w:val="22"/>
                <w:szCs w:val="22"/>
              </w:rPr>
              <w:t xml:space="preserve">on Indigenous health by coordinating Indigenous outreach trips and running Insight’s Cultural Communications Workshop. They inspire students to become engaged in the area of Indigenous health by increasing student awareness of Indigenous culture and issues surrounding Indigenous health. They empower students to develop confidence in the area of Indigenous health through upskilling opportunities, engaging students in the Indigenous Health subcommittee and organising students to visit Indigenous communities with clinicians. </w:t>
            </w:r>
          </w:p>
          <w:p w14:paraId="709832F8" w14:textId="66C067DB" w:rsidR="00B96602" w:rsidRPr="004036DE" w:rsidRDefault="00B96602">
            <w:pPr>
              <w:pBdr>
                <w:top w:val="nil"/>
                <w:left w:val="nil"/>
                <w:bottom w:val="nil"/>
                <w:right w:val="nil"/>
                <w:between w:val="nil"/>
              </w:pBdr>
              <w:jc w:val="both"/>
              <w:rPr>
                <w:rFonts w:ascii="Arial Narrow" w:eastAsia="Arial Narrow" w:hAnsi="Arial Narrow" w:cs="Arial"/>
                <w:color w:val="000000"/>
                <w:sz w:val="22"/>
                <w:szCs w:val="22"/>
              </w:rPr>
            </w:pPr>
          </w:p>
          <w:p w14:paraId="7E5D2EAC" w14:textId="3503588E" w:rsidR="00B96602" w:rsidRPr="004036DE" w:rsidRDefault="00B96602">
            <w:pPr>
              <w:pBdr>
                <w:top w:val="nil"/>
                <w:left w:val="nil"/>
                <w:bottom w:val="nil"/>
                <w:right w:val="nil"/>
                <w:between w:val="nil"/>
              </w:pBdr>
              <w:jc w:val="both"/>
              <w:rPr>
                <w:rFonts w:ascii="Arial Narrow" w:eastAsia="Arial Narrow" w:hAnsi="Arial Narrow" w:cs="Arial"/>
                <w:color w:val="000000"/>
                <w:sz w:val="22"/>
                <w:szCs w:val="22"/>
              </w:rPr>
            </w:pPr>
            <w:r w:rsidRPr="004036DE">
              <w:rPr>
                <w:rFonts w:ascii="Arial Narrow" w:eastAsia="Arial Narrow" w:hAnsi="Arial Narrow" w:cs="Arial"/>
                <w:color w:val="000000"/>
                <w:sz w:val="22"/>
                <w:szCs w:val="22"/>
              </w:rPr>
              <w:t>Main roles:</w:t>
            </w:r>
          </w:p>
          <w:p w14:paraId="0DD8F3AB" w14:textId="3EB9C267" w:rsidR="00740379" w:rsidRPr="004036DE" w:rsidRDefault="00492A2D">
            <w:pPr>
              <w:pBdr>
                <w:top w:val="nil"/>
                <w:left w:val="nil"/>
                <w:bottom w:val="nil"/>
                <w:right w:val="nil"/>
                <w:between w:val="nil"/>
              </w:pBdr>
              <w:jc w:val="both"/>
              <w:rPr>
                <w:rFonts w:ascii="Arial Narrow" w:eastAsia="Arial Narrow" w:hAnsi="Arial Narrow" w:cs="Arial"/>
                <w:color w:val="000000"/>
                <w:sz w:val="22"/>
                <w:szCs w:val="22"/>
              </w:rPr>
            </w:pPr>
            <w:r w:rsidRPr="004036DE">
              <w:rPr>
                <w:rFonts w:ascii="Arial Narrow" w:eastAsia="Arial Narrow" w:hAnsi="Arial Narrow" w:cs="Arial"/>
                <w:color w:val="000000"/>
                <w:sz w:val="22"/>
                <w:szCs w:val="22"/>
              </w:rPr>
              <w:t xml:space="preserve">The Indigenous Health Officer is responsible for coordinating the Insight Indigenous Health Program. The Insight Indigenous Health Program is designed to educate students on Indigenous health and give them hands-on experience in </w:t>
            </w:r>
            <w:r w:rsidRPr="004036DE">
              <w:rPr>
                <w:rFonts w:ascii="Arial Narrow" w:eastAsia="Arial Narrow" w:hAnsi="Arial Narrow" w:cs="Arial"/>
                <w:sz w:val="22"/>
                <w:szCs w:val="22"/>
              </w:rPr>
              <w:t>the field</w:t>
            </w:r>
            <w:r w:rsidRPr="004036DE">
              <w:rPr>
                <w:rFonts w:ascii="Arial Narrow" w:eastAsia="Arial Narrow" w:hAnsi="Arial Narrow" w:cs="Arial"/>
                <w:color w:val="000000"/>
                <w:sz w:val="22"/>
                <w:szCs w:val="22"/>
              </w:rPr>
              <w:t xml:space="preserve">. </w:t>
            </w:r>
          </w:p>
          <w:p w14:paraId="570894AD" w14:textId="77777777" w:rsidR="00740379" w:rsidRPr="004036DE" w:rsidRDefault="00740379">
            <w:pPr>
              <w:pBdr>
                <w:top w:val="nil"/>
                <w:left w:val="nil"/>
                <w:bottom w:val="nil"/>
                <w:right w:val="nil"/>
                <w:between w:val="nil"/>
              </w:pBdr>
              <w:jc w:val="both"/>
              <w:rPr>
                <w:rFonts w:ascii="Arial Narrow" w:eastAsia="Arial Narrow" w:hAnsi="Arial Narrow" w:cs="Arial"/>
                <w:color w:val="000000"/>
                <w:sz w:val="22"/>
                <w:szCs w:val="22"/>
              </w:rPr>
            </w:pPr>
          </w:p>
          <w:p w14:paraId="7F3C9B78" w14:textId="77777777" w:rsidR="00740379" w:rsidRPr="004036DE" w:rsidRDefault="00492A2D">
            <w:pPr>
              <w:pBdr>
                <w:top w:val="nil"/>
                <w:left w:val="nil"/>
                <w:bottom w:val="nil"/>
                <w:right w:val="nil"/>
                <w:between w:val="nil"/>
              </w:pBdr>
              <w:jc w:val="both"/>
              <w:rPr>
                <w:rFonts w:ascii="Arial Narrow" w:eastAsia="Arial Narrow" w:hAnsi="Arial Narrow" w:cs="Arial"/>
                <w:color w:val="000000"/>
                <w:sz w:val="22"/>
                <w:szCs w:val="22"/>
              </w:rPr>
            </w:pPr>
            <w:r w:rsidRPr="004036DE">
              <w:rPr>
                <w:rFonts w:ascii="Arial Narrow" w:eastAsia="Arial Narrow" w:hAnsi="Arial Narrow" w:cs="Arial"/>
                <w:color w:val="000000"/>
                <w:sz w:val="22"/>
                <w:szCs w:val="22"/>
              </w:rPr>
              <w:t xml:space="preserve">The outreach trips are the largest part of the program where we coordinate to send students to remote Indigenous communities with clinicians. Insight has relationships with many clinicians who visit Indigenous communities and this involves coordinating for students to go on these trips with clinicians. Education mainly involves running a cultural communications workshop where we invite guest speakers to educate students on working in Indigenous communities and communicating with Indigenous patients. We are also in the early stages of setting up </w:t>
            </w:r>
            <w:r w:rsidRPr="004036DE">
              <w:rPr>
                <w:rFonts w:ascii="Arial Narrow" w:eastAsia="Arial Narrow" w:hAnsi="Arial Narrow" w:cs="Arial"/>
                <w:sz w:val="22"/>
                <w:szCs w:val="22"/>
              </w:rPr>
              <w:t>other</w:t>
            </w:r>
            <w:r w:rsidRPr="004036DE">
              <w:rPr>
                <w:rFonts w:ascii="Arial Narrow" w:eastAsia="Arial Narrow" w:hAnsi="Arial Narrow" w:cs="Arial"/>
                <w:color w:val="000000"/>
                <w:sz w:val="22"/>
                <w:szCs w:val="22"/>
              </w:rPr>
              <w:t xml:space="preserve"> Indigenous </w:t>
            </w:r>
            <w:r w:rsidRPr="004036DE">
              <w:rPr>
                <w:rFonts w:ascii="Arial Narrow" w:eastAsia="Arial Narrow" w:hAnsi="Arial Narrow" w:cs="Arial"/>
                <w:sz w:val="22"/>
                <w:szCs w:val="22"/>
              </w:rPr>
              <w:t xml:space="preserve">health programs. </w:t>
            </w:r>
          </w:p>
          <w:p w14:paraId="532536A4" w14:textId="77777777" w:rsidR="00740379" w:rsidRPr="004036DE" w:rsidRDefault="00740379">
            <w:pPr>
              <w:pBdr>
                <w:top w:val="nil"/>
                <w:left w:val="nil"/>
                <w:bottom w:val="nil"/>
                <w:right w:val="nil"/>
                <w:between w:val="nil"/>
              </w:pBdr>
              <w:jc w:val="both"/>
              <w:rPr>
                <w:rFonts w:ascii="Arial Narrow" w:eastAsia="Arial Narrow" w:hAnsi="Arial Narrow" w:cs="Arial"/>
                <w:color w:val="000000"/>
                <w:sz w:val="22"/>
                <w:szCs w:val="22"/>
              </w:rPr>
            </w:pPr>
          </w:p>
          <w:p w14:paraId="55AE08B8" w14:textId="77777777" w:rsidR="00740379" w:rsidRPr="004036DE" w:rsidRDefault="00492A2D">
            <w:pPr>
              <w:pBdr>
                <w:top w:val="nil"/>
                <w:left w:val="nil"/>
                <w:bottom w:val="nil"/>
                <w:right w:val="nil"/>
                <w:between w:val="nil"/>
              </w:pBdr>
              <w:jc w:val="both"/>
              <w:rPr>
                <w:rFonts w:ascii="Arial Narrow" w:eastAsia="Arial Narrow" w:hAnsi="Arial Narrow" w:cs="Arial"/>
                <w:color w:val="000000"/>
                <w:sz w:val="22"/>
                <w:szCs w:val="22"/>
              </w:rPr>
            </w:pPr>
            <w:r w:rsidRPr="004036DE">
              <w:rPr>
                <w:rFonts w:ascii="Arial Narrow" w:eastAsia="Arial Narrow" w:hAnsi="Arial Narrow" w:cs="Arial"/>
                <w:color w:val="000000"/>
                <w:sz w:val="22"/>
                <w:szCs w:val="22"/>
              </w:rPr>
              <w:t>The Indigenous Health Officer’s role is to oversee the running of the Insight Indigenous Health Program, help secure future funding for the program and encourage development of the program. The Indigenous Health Officer is assisted in this role by a subcommittee formed at the beginning of the year.</w:t>
            </w:r>
          </w:p>
          <w:p w14:paraId="10915E34" w14:textId="77777777" w:rsidR="00740379" w:rsidRPr="004036DE" w:rsidRDefault="00740379">
            <w:pPr>
              <w:pBdr>
                <w:top w:val="nil"/>
                <w:left w:val="nil"/>
                <w:bottom w:val="nil"/>
                <w:right w:val="nil"/>
                <w:between w:val="nil"/>
              </w:pBdr>
              <w:jc w:val="both"/>
              <w:rPr>
                <w:rFonts w:ascii="Arial Narrow" w:eastAsia="Arial Narrow" w:hAnsi="Arial Narrow" w:cs="Arial"/>
                <w:color w:val="000000"/>
                <w:sz w:val="22"/>
                <w:szCs w:val="22"/>
              </w:rPr>
            </w:pPr>
          </w:p>
          <w:p w14:paraId="33D79ED3" w14:textId="252A58EB" w:rsidR="00740379" w:rsidRPr="004036DE" w:rsidRDefault="00492A2D">
            <w:pPr>
              <w:pBdr>
                <w:top w:val="nil"/>
                <w:left w:val="nil"/>
                <w:bottom w:val="nil"/>
                <w:right w:val="nil"/>
                <w:between w:val="nil"/>
              </w:pBdr>
              <w:jc w:val="both"/>
              <w:rPr>
                <w:rFonts w:ascii="Arial Narrow" w:eastAsia="Arial Narrow" w:hAnsi="Arial Narrow" w:cs="Arial"/>
                <w:color w:val="000000"/>
                <w:sz w:val="22"/>
                <w:szCs w:val="22"/>
              </w:rPr>
            </w:pPr>
            <w:r w:rsidRPr="004036DE">
              <w:rPr>
                <w:rFonts w:ascii="Arial Narrow" w:eastAsia="Arial Narrow" w:hAnsi="Arial Narrow" w:cs="Arial"/>
                <w:color w:val="000000"/>
                <w:sz w:val="22"/>
                <w:szCs w:val="22"/>
              </w:rPr>
              <w:t xml:space="preserve">You will need to be proactive, self-motivated and efficient, and have the passion and persistence to get projects off the ground. The role requires a lot of communication and leadership, as Indigenous </w:t>
            </w:r>
            <w:r w:rsidR="00B96602" w:rsidRPr="004036DE">
              <w:rPr>
                <w:rFonts w:ascii="Arial Narrow" w:eastAsia="Arial Narrow" w:hAnsi="Arial Narrow" w:cs="Arial"/>
                <w:color w:val="000000"/>
                <w:sz w:val="22"/>
                <w:szCs w:val="22"/>
              </w:rPr>
              <w:t>h</w:t>
            </w:r>
            <w:r w:rsidRPr="004036DE">
              <w:rPr>
                <w:rFonts w:ascii="Arial Narrow" w:eastAsia="Arial Narrow" w:hAnsi="Arial Narrow" w:cs="Arial"/>
                <w:color w:val="000000"/>
                <w:sz w:val="22"/>
                <w:szCs w:val="22"/>
              </w:rPr>
              <w:t>ealth is a unique field that is largely misunderstood and often poorly engaged with. But there are many excellent resources and wise people around who can help you on your way.</w:t>
            </w:r>
          </w:p>
        </w:tc>
      </w:tr>
      <w:tr w:rsidR="00740379" w:rsidRPr="000C4B7D" w14:paraId="6A170B8C" w14:textId="77777777">
        <w:tc>
          <w:tcPr>
            <w:tcW w:w="2145" w:type="dxa"/>
            <w:tcBorders>
              <w:top w:val="single" w:sz="4" w:space="0" w:color="FFFFFF"/>
              <w:left w:val="single" w:sz="4" w:space="0" w:color="FFFFFF"/>
              <w:bottom w:val="single" w:sz="4" w:space="0" w:color="FFFFFF"/>
              <w:right w:val="single" w:sz="4" w:space="0" w:color="FFFFFF"/>
            </w:tcBorders>
            <w:shd w:val="clear" w:color="auto" w:fill="C9DAF8"/>
          </w:tcPr>
          <w:p w14:paraId="564564C5" w14:textId="77777777" w:rsidR="00740379" w:rsidRPr="004036DE" w:rsidRDefault="00492A2D">
            <w:pPr>
              <w:rPr>
                <w:rFonts w:ascii="Arial Narrow" w:eastAsia="Arial Narrow" w:hAnsi="Arial Narrow" w:cs="Arial"/>
                <w:b/>
                <w:bCs/>
                <w:color w:val="000000"/>
                <w:sz w:val="22"/>
                <w:szCs w:val="22"/>
              </w:rPr>
            </w:pPr>
            <w:r w:rsidRPr="004036DE">
              <w:rPr>
                <w:rFonts w:ascii="Arial Narrow" w:eastAsia="Arial Narrow" w:hAnsi="Arial Narrow" w:cs="Arial"/>
                <w:b/>
                <w:bCs/>
                <w:color w:val="000000"/>
                <w:sz w:val="22"/>
                <w:szCs w:val="22"/>
              </w:rPr>
              <w:t>Positives of position:</w:t>
            </w:r>
          </w:p>
        </w:tc>
        <w:tc>
          <w:tcPr>
            <w:tcW w:w="8415" w:type="dxa"/>
            <w:tcBorders>
              <w:top w:val="single" w:sz="4" w:space="0" w:color="FFFFFF"/>
              <w:left w:val="single" w:sz="4" w:space="0" w:color="FFFFFF"/>
              <w:bottom w:val="single" w:sz="4" w:space="0" w:color="FFFFFF"/>
              <w:right w:val="single" w:sz="4" w:space="0" w:color="FFFFFF"/>
            </w:tcBorders>
          </w:tcPr>
          <w:p w14:paraId="3F37B282" w14:textId="77777777" w:rsidR="00740379" w:rsidRPr="004036DE" w:rsidRDefault="00492A2D">
            <w:pPr>
              <w:numPr>
                <w:ilvl w:val="0"/>
                <w:numId w:val="1"/>
              </w:numPr>
              <w:pBdr>
                <w:top w:val="nil"/>
                <w:left w:val="nil"/>
                <w:bottom w:val="nil"/>
                <w:right w:val="nil"/>
                <w:between w:val="nil"/>
              </w:pBdr>
              <w:rPr>
                <w:rFonts w:ascii="Arial Narrow" w:hAnsi="Arial Narrow" w:cs="Arial"/>
                <w:color w:val="000000"/>
                <w:sz w:val="22"/>
                <w:szCs w:val="22"/>
              </w:rPr>
            </w:pPr>
            <w:r w:rsidRPr="004036DE">
              <w:rPr>
                <w:rFonts w:ascii="Arial Narrow" w:eastAsia="Arial Narrow" w:hAnsi="Arial Narrow" w:cs="Arial"/>
                <w:color w:val="000000"/>
                <w:sz w:val="22"/>
                <w:szCs w:val="22"/>
              </w:rPr>
              <w:t>Very rewarding, you can see immediate results of most of your work and the program genuinely contributes to making a difference in Indigenous health</w:t>
            </w:r>
          </w:p>
          <w:p w14:paraId="56C7F001" w14:textId="77777777" w:rsidR="00740379" w:rsidRPr="004036DE" w:rsidRDefault="00492A2D">
            <w:pPr>
              <w:numPr>
                <w:ilvl w:val="0"/>
                <w:numId w:val="1"/>
              </w:numPr>
              <w:pBdr>
                <w:top w:val="nil"/>
                <w:left w:val="nil"/>
                <w:bottom w:val="nil"/>
                <w:right w:val="nil"/>
                <w:between w:val="nil"/>
              </w:pBdr>
              <w:rPr>
                <w:rFonts w:ascii="Arial Narrow" w:hAnsi="Arial Narrow" w:cs="Arial"/>
                <w:color w:val="000000"/>
                <w:sz w:val="22"/>
                <w:szCs w:val="22"/>
              </w:rPr>
            </w:pPr>
            <w:r w:rsidRPr="004036DE">
              <w:rPr>
                <w:rFonts w:ascii="Arial Narrow" w:eastAsia="Arial Narrow" w:hAnsi="Arial Narrow" w:cs="Arial"/>
                <w:color w:val="000000"/>
                <w:sz w:val="22"/>
                <w:szCs w:val="22"/>
              </w:rPr>
              <w:t>There is a recognised lack of Indigenous health teaching in the current curriculum, so students really appreciate the opportunities that you offer them. There is no difficulty rallying support and involvement in events!</w:t>
            </w:r>
          </w:p>
          <w:p w14:paraId="4F4F3AD7" w14:textId="77777777" w:rsidR="00740379" w:rsidRPr="004036DE" w:rsidRDefault="00492A2D">
            <w:pPr>
              <w:numPr>
                <w:ilvl w:val="0"/>
                <w:numId w:val="1"/>
              </w:numPr>
              <w:pBdr>
                <w:top w:val="nil"/>
                <w:left w:val="nil"/>
                <w:bottom w:val="nil"/>
                <w:right w:val="nil"/>
                <w:between w:val="nil"/>
              </w:pBdr>
              <w:rPr>
                <w:rFonts w:ascii="Arial Narrow" w:hAnsi="Arial Narrow" w:cs="Arial"/>
                <w:color w:val="000000"/>
                <w:sz w:val="22"/>
                <w:szCs w:val="22"/>
              </w:rPr>
            </w:pPr>
            <w:r w:rsidRPr="004036DE">
              <w:rPr>
                <w:rFonts w:ascii="Arial Narrow" w:eastAsia="Arial Narrow" w:hAnsi="Arial Narrow" w:cs="Arial"/>
                <w:color w:val="000000"/>
                <w:sz w:val="22"/>
                <w:szCs w:val="22"/>
              </w:rPr>
              <w:t>You learn a lot more about Indigenous culture and the issues surrounding Indigenous health</w:t>
            </w:r>
          </w:p>
          <w:p w14:paraId="2D913A33" w14:textId="77777777" w:rsidR="00740379" w:rsidRPr="004036DE" w:rsidRDefault="00492A2D">
            <w:pPr>
              <w:numPr>
                <w:ilvl w:val="0"/>
                <w:numId w:val="1"/>
              </w:numPr>
              <w:pBdr>
                <w:top w:val="nil"/>
                <w:left w:val="nil"/>
                <w:bottom w:val="nil"/>
                <w:right w:val="nil"/>
                <w:between w:val="nil"/>
              </w:pBdr>
              <w:rPr>
                <w:rFonts w:ascii="Arial Narrow" w:hAnsi="Arial Narrow" w:cs="Arial"/>
                <w:color w:val="000000"/>
                <w:sz w:val="22"/>
                <w:szCs w:val="22"/>
              </w:rPr>
            </w:pPr>
            <w:r w:rsidRPr="004036DE">
              <w:rPr>
                <w:rFonts w:ascii="Arial Narrow" w:eastAsia="Arial Narrow" w:hAnsi="Arial Narrow" w:cs="Arial"/>
                <w:color w:val="000000"/>
                <w:sz w:val="22"/>
                <w:szCs w:val="22"/>
              </w:rPr>
              <w:t>You learn and develop leadership skills through leading the working party</w:t>
            </w:r>
          </w:p>
          <w:p w14:paraId="3772862D" w14:textId="77777777" w:rsidR="00740379" w:rsidRPr="004036DE" w:rsidRDefault="00492A2D">
            <w:pPr>
              <w:numPr>
                <w:ilvl w:val="0"/>
                <w:numId w:val="1"/>
              </w:numPr>
              <w:pBdr>
                <w:top w:val="nil"/>
                <w:left w:val="nil"/>
                <w:bottom w:val="nil"/>
                <w:right w:val="nil"/>
                <w:between w:val="nil"/>
              </w:pBdr>
              <w:rPr>
                <w:rFonts w:ascii="Arial Narrow" w:hAnsi="Arial Narrow" w:cs="Arial"/>
                <w:color w:val="000000"/>
                <w:sz w:val="22"/>
                <w:szCs w:val="22"/>
              </w:rPr>
            </w:pPr>
            <w:r w:rsidRPr="004036DE">
              <w:rPr>
                <w:rFonts w:ascii="Arial Narrow" w:eastAsia="Arial Narrow" w:hAnsi="Arial Narrow" w:cs="Arial"/>
                <w:color w:val="000000"/>
                <w:sz w:val="22"/>
                <w:szCs w:val="22"/>
              </w:rPr>
              <w:t>Get to work with a group of incredible, like-minded people</w:t>
            </w:r>
          </w:p>
          <w:p w14:paraId="3F924969" w14:textId="77777777" w:rsidR="00740379" w:rsidRPr="004036DE" w:rsidRDefault="00492A2D">
            <w:pPr>
              <w:numPr>
                <w:ilvl w:val="0"/>
                <w:numId w:val="1"/>
              </w:numPr>
              <w:pBdr>
                <w:top w:val="nil"/>
                <w:left w:val="nil"/>
                <w:bottom w:val="nil"/>
                <w:right w:val="nil"/>
                <w:between w:val="nil"/>
              </w:pBdr>
              <w:rPr>
                <w:rFonts w:ascii="Arial Narrow" w:hAnsi="Arial Narrow" w:cs="Arial"/>
                <w:color w:val="000000"/>
                <w:sz w:val="22"/>
                <w:szCs w:val="22"/>
              </w:rPr>
            </w:pPr>
            <w:r w:rsidRPr="004036DE">
              <w:rPr>
                <w:rFonts w:ascii="Arial Narrow" w:eastAsia="Arial Narrow" w:hAnsi="Arial Narrow" w:cs="Arial"/>
                <w:color w:val="000000"/>
                <w:sz w:val="22"/>
                <w:szCs w:val="22"/>
              </w:rPr>
              <w:t>The program has a lot of potential for expansion. You have the opportunity to be autonomous and steer the expansion of the program</w:t>
            </w:r>
          </w:p>
        </w:tc>
      </w:tr>
      <w:tr w:rsidR="00740379" w:rsidRPr="000C4B7D" w14:paraId="1D8F4095" w14:textId="77777777">
        <w:tc>
          <w:tcPr>
            <w:tcW w:w="2145" w:type="dxa"/>
            <w:tcBorders>
              <w:top w:val="single" w:sz="4" w:space="0" w:color="FFFFFF"/>
              <w:left w:val="single" w:sz="4" w:space="0" w:color="FFFFFF"/>
              <w:bottom w:val="single" w:sz="4" w:space="0" w:color="FFFFFF"/>
              <w:right w:val="single" w:sz="4" w:space="0" w:color="FFFFFF"/>
            </w:tcBorders>
            <w:shd w:val="clear" w:color="auto" w:fill="C9DAF8"/>
          </w:tcPr>
          <w:p w14:paraId="1122E1DD" w14:textId="77777777" w:rsidR="00740379" w:rsidRPr="004036DE" w:rsidRDefault="00492A2D">
            <w:pPr>
              <w:rPr>
                <w:rFonts w:ascii="Arial Narrow" w:eastAsia="Arial Narrow" w:hAnsi="Arial Narrow" w:cs="Arial"/>
                <w:b/>
                <w:bCs/>
                <w:color w:val="000000"/>
                <w:sz w:val="22"/>
                <w:szCs w:val="22"/>
              </w:rPr>
            </w:pPr>
            <w:r w:rsidRPr="004036DE">
              <w:rPr>
                <w:rFonts w:ascii="Arial Narrow" w:eastAsia="Arial Narrow" w:hAnsi="Arial Narrow" w:cs="Arial"/>
                <w:b/>
                <w:bCs/>
                <w:color w:val="000000"/>
                <w:sz w:val="22"/>
                <w:szCs w:val="22"/>
              </w:rPr>
              <w:t>Negatives of position:</w:t>
            </w:r>
          </w:p>
        </w:tc>
        <w:tc>
          <w:tcPr>
            <w:tcW w:w="8415" w:type="dxa"/>
            <w:tcBorders>
              <w:top w:val="single" w:sz="4" w:space="0" w:color="FFFFFF"/>
              <w:left w:val="single" w:sz="4" w:space="0" w:color="FFFFFF"/>
              <w:bottom w:val="single" w:sz="4" w:space="0" w:color="FFFFFF"/>
              <w:right w:val="single" w:sz="4" w:space="0" w:color="FFFFFF"/>
            </w:tcBorders>
          </w:tcPr>
          <w:p w14:paraId="5C0118C0" w14:textId="77777777" w:rsidR="00740379" w:rsidRPr="004036DE" w:rsidRDefault="00492A2D">
            <w:pPr>
              <w:numPr>
                <w:ilvl w:val="0"/>
                <w:numId w:val="2"/>
              </w:numPr>
              <w:pBdr>
                <w:top w:val="nil"/>
                <w:left w:val="nil"/>
                <w:bottom w:val="nil"/>
                <w:right w:val="nil"/>
                <w:between w:val="nil"/>
              </w:pBdr>
              <w:jc w:val="both"/>
              <w:rPr>
                <w:rFonts w:ascii="Arial Narrow" w:hAnsi="Arial Narrow" w:cs="Arial"/>
                <w:color w:val="000000"/>
                <w:sz w:val="22"/>
                <w:szCs w:val="22"/>
              </w:rPr>
            </w:pPr>
            <w:r w:rsidRPr="004036DE">
              <w:rPr>
                <w:rFonts w:ascii="Arial Narrow" w:eastAsia="Arial Narrow" w:hAnsi="Arial Narrow" w:cs="Arial"/>
                <w:color w:val="000000"/>
                <w:sz w:val="22"/>
                <w:szCs w:val="22"/>
              </w:rPr>
              <w:t>Sometimes, new programs/ideas can be hard to establish because there is a lot of red tape surrounding some areas of Indigenous health. However, there are several existing programs and events that we can engage with, if you know who to ask. Don’t be afraid to ask past officers for their advice, and to make contacts throughout the year that will help you make your visions a reality!</w:t>
            </w:r>
          </w:p>
          <w:p w14:paraId="311F6C6C" w14:textId="77777777" w:rsidR="00740379" w:rsidRPr="004036DE" w:rsidRDefault="00492A2D">
            <w:pPr>
              <w:numPr>
                <w:ilvl w:val="0"/>
                <w:numId w:val="2"/>
              </w:numPr>
              <w:pBdr>
                <w:top w:val="nil"/>
                <w:left w:val="nil"/>
                <w:bottom w:val="nil"/>
                <w:right w:val="nil"/>
                <w:between w:val="nil"/>
              </w:pBdr>
              <w:jc w:val="both"/>
              <w:rPr>
                <w:rFonts w:ascii="Arial Narrow" w:hAnsi="Arial Narrow" w:cs="Arial"/>
                <w:color w:val="000000"/>
                <w:sz w:val="22"/>
                <w:szCs w:val="22"/>
              </w:rPr>
            </w:pPr>
            <w:r w:rsidRPr="004036DE">
              <w:rPr>
                <w:rFonts w:ascii="Arial Narrow" w:eastAsia="Arial Narrow" w:hAnsi="Arial Narrow" w:cs="Arial"/>
                <w:color w:val="000000"/>
                <w:sz w:val="22"/>
                <w:szCs w:val="22"/>
              </w:rPr>
              <w:t>If you’re passionate about the role, there are very few negatives!</w:t>
            </w:r>
          </w:p>
        </w:tc>
      </w:tr>
      <w:tr w:rsidR="00740379" w:rsidRPr="000C4B7D" w14:paraId="64B6A0CE" w14:textId="77777777">
        <w:tc>
          <w:tcPr>
            <w:tcW w:w="2145" w:type="dxa"/>
            <w:tcBorders>
              <w:top w:val="single" w:sz="4" w:space="0" w:color="FFFFFF"/>
              <w:left w:val="single" w:sz="4" w:space="0" w:color="FFFFFF"/>
              <w:bottom w:val="single" w:sz="4" w:space="0" w:color="FFFFFF"/>
              <w:right w:val="single" w:sz="4" w:space="0" w:color="FFFFFF"/>
            </w:tcBorders>
            <w:shd w:val="clear" w:color="auto" w:fill="C9DAF8"/>
          </w:tcPr>
          <w:p w14:paraId="1BAD4356" w14:textId="77777777" w:rsidR="00740379" w:rsidRPr="004036DE" w:rsidRDefault="00492A2D">
            <w:pPr>
              <w:rPr>
                <w:rFonts w:ascii="Arial Narrow" w:eastAsia="Arial Narrow" w:hAnsi="Arial Narrow" w:cs="Arial"/>
                <w:b/>
                <w:bCs/>
                <w:color w:val="000000"/>
                <w:sz w:val="22"/>
                <w:szCs w:val="22"/>
              </w:rPr>
            </w:pPr>
            <w:r w:rsidRPr="004036DE">
              <w:rPr>
                <w:rFonts w:ascii="Arial Narrow" w:eastAsia="Arial Narrow" w:hAnsi="Arial Narrow" w:cs="Arial"/>
                <w:b/>
                <w:bCs/>
                <w:color w:val="000000"/>
                <w:sz w:val="22"/>
                <w:szCs w:val="22"/>
              </w:rPr>
              <w:t>Time required:</w:t>
            </w:r>
          </w:p>
        </w:tc>
        <w:tc>
          <w:tcPr>
            <w:tcW w:w="8415" w:type="dxa"/>
            <w:tcBorders>
              <w:top w:val="single" w:sz="4" w:space="0" w:color="FFFFFF"/>
              <w:left w:val="single" w:sz="4" w:space="0" w:color="FFFFFF"/>
              <w:bottom w:val="single" w:sz="4" w:space="0" w:color="FFFFFF"/>
              <w:right w:val="single" w:sz="4" w:space="0" w:color="FFFFFF"/>
            </w:tcBorders>
          </w:tcPr>
          <w:p w14:paraId="60FCFE5A" w14:textId="77777777" w:rsidR="00740379" w:rsidRPr="004036DE" w:rsidRDefault="00492A2D">
            <w:pPr>
              <w:pBdr>
                <w:top w:val="nil"/>
                <w:left w:val="nil"/>
                <w:bottom w:val="nil"/>
                <w:right w:val="nil"/>
                <w:between w:val="nil"/>
              </w:pBdr>
              <w:jc w:val="both"/>
              <w:rPr>
                <w:rFonts w:ascii="Arial Narrow" w:eastAsia="Arial Narrow" w:hAnsi="Arial Narrow" w:cs="Arial"/>
                <w:color w:val="000000"/>
                <w:sz w:val="22"/>
                <w:szCs w:val="22"/>
              </w:rPr>
            </w:pPr>
            <w:r w:rsidRPr="004036DE">
              <w:rPr>
                <w:rFonts w:ascii="Arial Narrow" w:eastAsia="Arial Narrow" w:hAnsi="Arial Narrow" w:cs="Arial"/>
                <w:color w:val="000000"/>
                <w:sz w:val="22"/>
                <w:szCs w:val="22"/>
              </w:rPr>
              <w:t>Between 2-6 hours per week, most weeks. Sometimes quieter. I would recommend forming a subcommittee early in the year; delegating makes life a lot easier!</w:t>
            </w:r>
          </w:p>
        </w:tc>
      </w:tr>
      <w:tr w:rsidR="00740379" w:rsidRPr="000C4B7D" w14:paraId="24F22DD6" w14:textId="77777777">
        <w:tc>
          <w:tcPr>
            <w:tcW w:w="2145" w:type="dxa"/>
            <w:tcBorders>
              <w:top w:val="single" w:sz="4" w:space="0" w:color="FFFFFF"/>
              <w:left w:val="single" w:sz="4" w:space="0" w:color="FFFFFF"/>
              <w:bottom w:val="single" w:sz="4" w:space="0" w:color="FFFFFF"/>
              <w:right w:val="single" w:sz="4" w:space="0" w:color="FFFFFF"/>
            </w:tcBorders>
            <w:shd w:val="clear" w:color="auto" w:fill="C9DAF8"/>
          </w:tcPr>
          <w:p w14:paraId="4D43DE12" w14:textId="77777777" w:rsidR="00740379" w:rsidRPr="004036DE" w:rsidRDefault="00492A2D">
            <w:pPr>
              <w:rPr>
                <w:rFonts w:ascii="Arial Narrow" w:eastAsia="Arial Narrow" w:hAnsi="Arial Narrow" w:cs="Arial"/>
                <w:b/>
                <w:bCs/>
                <w:color w:val="000000"/>
                <w:sz w:val="22"/>
                <w:szCs w:val="22"/>
              </w:rPr>
            </w:pPr>
            <w:r w:rsidRPr="004036DE">
              <w:rPr>
                <w:rFonts w:ascii="Arial Narrow" w:eastAsia="Arial Narrow" w:hAnsi="Arial Narrow" w:cs="Arial"/>
                <w:b/>
                <w:bCs/>
                <w:color w:val="000000"/>
                <w:sz w:val="22"/>
                <w:szCs w:val="22"/>
              </w:rPr>
              <w:t>Ideas for the future:</w:t>
            </w:r>
          </w:p>
        </w:tc>
        <w:tc>
          <w:tcPr>
            <w:tcW w:w="8415" w:type="dxa"/>
            <w:tcBorders>
              <w:top w:val="single" w:sz="4" w:space="0" w:color="FFFFFF"/>
              <w:left w:val="single" w:sz="4" w:space="0" w:color="FFFFFF"/>
              <w:bottom w:val="single" w:sz="4" w:space="0" w:color="FFFFFF"/>
              <w:right w:val="single" w:sz="4" w:space="0" w:color="FFFFFF"/>
            </w:tcBorders>
          </w:tcPr>
          <w:p w14:paraId="3FAB2D35" w14:textId="77777777" w:rsidR="00740379" w:rsidRPr="004036DE" w:rsidRDefault="00492A2D">
            <w:pPr>
              <w:pBdr>
                <w:top w:val="nil"/>
                <w:left w:val="nil"/>
                <w:bottom w:val="nil"/>
                <w:right w:val="nil"/>
                <w:between w:val="nil"/>
              </w:pBdr>
              <w:jc w:val="both"/>
              <w:rPr>
                <w:rFonts w:ascii="Arial Narrow" w:eastAsia="Arial Narrow" w:hAnsi="Arial Narrow" w:cs="Arial"/>
                <w:color w:val="000000"/>
                <w:sz w:val="22"/>
                <w:szCs w:val="22"/>
              </w:rPr>
            </w:pPr>
            <w:r w:rsidRPr="004036DE">
              <w:rPr>
                <w:rFonts w:ascii="Arial Narrow" w:eastAsia="Arial Narrow" w:hAnsi="Arial Narrow" w:cs="Arial"/>
                <w:color w:val="000000"/>
                <w:sz w:val="22"/>
                <w:szCs w:val="22"/>
              </w:rPr>
              <w:t xml:space="preserve">There is also scope to engage new doctors/health care professionals in the Outreach Trip program, so that we have new and diverse experiences to offer students. </w:t>
            </w:r>
          </w:p>
        </w:tc>
      </w:tr>
      <w:tr w:rsidR="00740379" w:rsidRPr="000C4B7D" w14:paraId="47A36A81" w14:textId="77777777">
        <w:tc>
          <w:tcPr>
            <w:tcW w:w="2145" w:type="dxa"/>
            <w:tcBorders>
              <w:top w:val="single" w:sz="4" w:space="0" w:color="FFFFFF"/>
              <w:left w:val="single" w:sz="4" w:space="0" w:color="FFFFFF"/>
              <w:bottom w:val="single" w:sz="4" w:space="0" w:color="FFFFFF"/>
              <w:right w:val="single" w:sz="4" w:space="0" w:color="FFFFFF"/>
            </w:tcBorders>
            <w:shd w:val="clear" w:color="auto" w:fill="C9DAF8"/>
          </w:tcPr>
          <w:p w14:paraId="79D52D93" w14:textId="77777777" w:rsidR="00740379" w:rsidRPr="004036DE" w:rsidRDefault="00492A2D">
            <w:pPr>
              <w:rPr>
                <w:rFonts w:ascii="Arial Narrow" w:eastAsia="Arial Narrow" w:hAnsi="Arial Narrow" w:cs="Arial"/>
                <w:b/>
                <w:bCs/>
                <w:color w:val="000000"/>
                <w:sz w:val="22"/>
                <w:szCs w:val="22"/>
              </w:rPr>
            </w:pPr>
            <w:r w:rsidRPr="004036DE">
              <w:rPr>
                <w:rFonts w:ascii="Arial Narrow" w:eastAsia="Arial Narrow" w:hAnsi="Arial Narrow" w:cs="Arial"/>
                <w:b/>
                <w:bCs/>
                <w:color w:val="000000"/>
                <w:sz w:val="22"/>
                <w:szCs w:val="22"/>
              </w:rPr>
              <w:lastRenderedPageBreak/>
              <w:t>Experience required:</w:t>
            </w:r>
          </w:p>
        </w:tc>
        <w:tc>
          <w:tcPr>
            <w:tcW w:w="8415" w:type="dxa"/>
            <w:tcBorders>
              <w:top w:val="single" w:sz="4" w:space="0" w:color="FFFFFF"/>
              <w:left w:val="single" w:sz="4" w:space="0" w:color="FFFFFF"/>
              <w:bottom w:val="single" w:sz="4" w:space="0" w:color="FFFFFF"/>
              <w:right w:val="single" w:sz="4" w:space="0" w:color="FFFFFF"/>
            </w:tcBorders>
          </w:tcPr>
          <w:p w14:paraId="02426182" w14:textId="77777777" w:rsidR="00740379" w:rsidRPr="004036DE" w:rsidRDefault="00492A2D">
            <w:pPr>
              <w:pBdr>
                <w:top w:val="nil"/>
                <w:left w:val="nil"/>
                <w:bottom w:val="nil"/>
                <w:right w:val="nil"/>
                <w:between w:val="nil"/>
              </w:pBdr>
              <w:jc w:val="both"/>
              <w:rPr>
                <w:rFonts w:ascii="Arial Narrow" w:eastAsia="Arial Narrow" w:hAnsi="Arial Narrow" w:cs="Arial"/>
                <w:color w:val="000000"/>
                <w:sz w:val="22"/>
                <w:szCs w:val="22"/>
              </w:rPr>
            </w:pPr>
            <w:r w:rsidRPr="004036DE">
              <w:rPr>
                <w:rFonts w:ascii="Arial Narrow" w:eastAsia="Arial Narrow" w:hAnsi="Arial Narrow" w:cs="Arial"/>
                <w:color w:val="000000"/>
                <w:sz w:val="22"/>
                <w:szCs w:val="22"/>
              </w:rPr>
              <w:t xml:space="preserve">None required, but an eagerness to engage and learn is essential </w:t>
            </w:r>
          </w:p>
        </w:tc>
      </w:tr>
      <w:tr w:rsidR="00740379" w:rsidRPr="000C4B7D" w14:paraId="7FEA1216" w14:textId="77777777">
        <w:tc>
          <w:tcPr>
            <w:tcW w:w="2145" w:type="dxa"/>
            <w:tcBorders>
              <w:top w:val="single" w:sz="4" w:space="0" w:color="FFFFFF"/>
              <w:left w:val="single" w:sz="4" w:space="0" w:color="FFFFFF"/>
              <w:bottom w:val="single" w:sz="4" w:space="0" w:color="FFFFFF"/>
              <w:right w:val="single" w:sz="4" w:space="0" w:color="FFFFFF"/>
            </w:tcBorders>
            <w:shd w:val="clear" w:color="auto" w:fill="C9DAF8"/>
          </w:tcPr>
          <w:p w14:paraId="6339AC22" w14:textId="77777777" w:rsidR="00740379" w:rsidRPr="004036DE" w:rsidRDefault="00492A2D">
            <w:pPr>
              <w:rPr>
                <w:rFonts w:ascii="Arial Narrow" w:eastAsia="Arial Narrow" w:hAnsi="Arial Narrow" w:cs="Arial"/>
                <w:b/>
                <w:bCs/>
                <w:color w:val="000000"/>
                <w:sz w:val="22"/>
                <w:szCs w:val="22"/>
              </w:rPr>
            </w:pPr>
            <w:r w:rsidRPr="004036DE">
              <w:rPr>
                <w:rFonts w:ascii="Arial Narrow" w:eastAsia="Arial Narrow" w:hAnsi="Arial Narrow" w:cs="Arial"/>
                <w:b/>
                <w:bCs/>
                <w:color w:val="000000"/>
                <w:sz w:val="22"/>
                <w:szCs w:val="22"/>
              </w:rPr>
              <w:t>Past office bearers:</w:t>
            </w:r>
          </w:p>
        </w:tc>
        <w:tc>
          <w:tcPr>
            <w:tcW w:w="8415" w:type="dxa"/>
            <w:tcBorders>
              <w:top w:val="single" w:sz="4" w:space="0" w:color="FFFFFF"/>
              <w:left w:val="single" w:sz="4" w:space="0" w:color="FFFFFF"/>
              <w:bottom w:val="single" w:sz="4" w:space="0" w:color="FFFFFF"/>
              <w:right w:val="single" w:sz="4" w:space="0" w:color="FFFFFF"/>
            </w:tcBorders>
          </w:tcPr>
          <w:p w14:paraId="2DED5D17" w14:textId="77777777" w:rsidR="00B96602" w:rsidRPr="004036DE" w:rsidRDefault="00B96602">
            <w:pPr>
              <w:rPr>
                <w:rFonts w:ascii="Arial Narrow" w:eastAsia="Arial Narrow" w:hAnsi="Arial Narrow" w:cs="Arial"/>
                <w:sz w:val="22"/>
                <w:szCs w:val="22"/>
              </w:rPr>
            </w:pPr>
            <w:r w:rsidRPr="004036DE">
              <w:rPr>
                <w:rFonts w:ascii="Arial Narrow" w:eastAsia="Arial Narrow" w:hAnsi="Arial Narrow" w:cs="Arial"/>
                <w:sz w:val="22"/>
                <w:szCs w:val="22"/>
              </w:rPr>
              <w:t xml:space="preserve">2019: </w:t>
            </w:r>
            <w:proofErr w:type="spellStart"/>
            <w:r w:rsidRPr="004036DE">
              <w:rPr>
                <w:rFonts w:ascii="Arial Narrow" w:eastAsia="Arial Narrow" w:hAnsi="Arial Narrow" w:cs="Arial"/>
                <w:sz w:val="22"/>
                <w:szCs w:val="22"/>
              </w:rPr>
              <w:t>Vishak</w:t>
            </w:r>
            <w:proofErr w:type="spellEnd"/>
            <w:r w:rsidRPr="004036DE">
              <w:rPr>
                <w:rFonts w:ascii="Arial Narrow" w:eastAsia="Arial Narrow" w:hAnsi="Arial Narrow" w:cs="Arial"/>
                <w:sz w:val="22"/>
                <w:szCs w:val="22"/>
              </w:rPr>
              <w:t xml:space="preserve"> Senthil (MBBS II)</w:t>
            </w:r>
          </w:p>
          <w:p w14:paraId="368D79F5" w14:textId="57A34726" w:rsidR="00740379" w:rsidRPr="004036DE" w:rsidRDefault="00492A2D">
            <w:pPr>
              <w:rPr>
                <w:rFonts w:ascii="Arial Narrow" w:eastAsia="Arial Narrow" w:hAnsi="Arial Narrow" w:cs="Arial"/>
                <w:sz w:val="22"/>
                <w:szCs w:val="22"/>
              </w:rPr>
            </w:pPr>
            <w:r w:rsidRPr="004036DE">
              <w:rPr>
                <w:rFonts w:ascii="Arial Narrow" w:eastAsia="Arial Narrow" w:hAnsi="Arial Narrow" w:cs="Arial"/>
                <w:sz w:val="22"/>
                <w:szCs w:val="22"/>
              </w:rPr>
              <w:t xml:space="preserve">2018: Michael </w:t>
            </w:r>
            <w:proofErr w:type="spellStart"/>
            <w:r w:rsidRPr="004036DE">
              <w:rPr>
                <w:rFonts w:ascii="Arial Narrow" w:eastAsia="Arial Narrow" w:hAnsi="Arial Narrow" w:cs="Arial"/>
                <w:sz w:val="22"/>
                <w:szCs w:val="22"/>
              </w:rPr>
              <w:t>Riceman</w:t>
            </w:r>
            <w:proofErr w:type="spellEnd"/>
            <w:r w:rsidRPr="004036DE">
              <w:rPr>
                <w:rFonts w:ascii="Arial Narrow" w:eastAsia="Arial Narrow" w:hAnsi="Arial Narrow" w:cs="Arial"/>
                <w:sz w:val="22"/>
                <w:szCs w:val="22"/>
              </w:rPr>
              <w:t xml:space="preserve"> (Honours MBBS VI)</w:t>
            </w:r>
          </w:p>
          <w:p w14:paraId="6C8C6B2B" w14:textId="77777777" w:rsidR="00740379" w:rsidRPr="004036DE" w:rsidRDefault="00492A2D">
            <w:pPr>
              <w:rPr>
                <w:rFonts w:ascii="Arial Narrow" w:eastAsia="Arial Narrow" w:hAnsi="Arial Narrow" w:cs="Arial"/>
                <w:sz w:val="22"/>
                <w:szCs w:val="22"/>
              </w:rPr>
            </w:pPr>
            <w:r w:rsidRPr="004036DE">
              <w:rPr>
                <w:rFonts w:ascii="Arial Narrow" w:eastAsia="Arial Narrow" w:hAnsi="Arial Narrow" w:cs="Arial"/>
                <w:sz w:val="22"/>
                <w:szCs w:val="22"/>
              </w:rPr>
              <w:t xml:space="preserve">2017: Gordon Goh (MBBS VI) </w:t>
            </w:r>
          </w:p>
          <w:p w14:paraId="61F82F2E" w14:textId="77777777" w:rsidR="00740379" w:rsidRPr="004036DE" w:rsidRDefault="00492A2D">
            <w:pPr>
              <w:rPr>
                <w:rFonts w:ascii="Arial Narrow" w:eastAsia="Arial Narrow" w:hAnsi="Arial Narrow" w:cs="Arial"/>
                <w:color w:val="000000"/>
                <w:sz w:val="22"/>
                <w:szCs w:val="22"/>
              </w:rPr>
            </w:pPr>
            <w:r w:rsidRPr="004036DE">
              <w:rPr>
                <w:rFonts w:ascii="Arial Narrow" w:eastAsia="Arial Narrow" w:hAnsi="Arial Narrow" w:cs="Arial"/>
                <w:color w:val="000000"/>
                <w:sz w:val="22"/>
                <w:szCs w:val="22"/>
              </w:rPr>
              <w:t>2016: Jessica Mitchell (MBBS II)</w:t>
            </w:r>
          </w:p>
          <w:p w14:paraId="0936DA8C" w14:textId="77777777" w:rsidR="00740379" w:rsidRPr="004036DE" w:rsidRDefault="00492A2D">
            <w:pPr>
              <w:rPr>
                <w:rFonts w:ascii="Arial Narrow" w:eastAsia="Arial Narrow" w:hAnsi="Arial Narrow" w:cs="Arial"/>
                <w:color w:val="000000"/>
                <w:sz w:val="22"/>
                <w:szCs w:val="22"/>
              </w:rPr>
            </w:pPr>
            <w:r w:rsidRPr="004036DE">
              <w:rPr>
                <w:rFonts w:ascii="Arial Narrow" w:eastAsia="Arial Narrow" w:hAnsi="Arial Narrow" w:cs="Arial"/>
                <w:color w:val="000000"/>
                <w:sz w:val="22"/>
                <w:szCs w:val="22"/>
              </w:rPr>
              <w:t>2015: Xi (</w:t>
            </w:r>
            <w:proofErr w:type="spellStart"/>
            <w:r w:rsidRPr="004036DE">
              <w:rPr>
                <w:rFonts w:ascii="Arial Narrow" w:eastAsia="Arial Narrow" w:hAnsi="Arial Narrow" w:cs="Arial"/>
                <w:color w:val="000000"/>
                <w:sz w:val="22"/>
                <w:szCs w:val="22"/>
              </w:rPr>
              <w:t>Cicy</w:t>
            </w:r>
            <w:proofErr w:type="spellEnd"/>
            <w:r w:rsidRPr="004036DE">
              <w:rPr>
                <w:rFonts w:ascii="Arial Narrow" w:eastAsia="Arial Narrow" w:hAnsi="Arial Narrow" w:cs="Arial"/>
                <w:color w:val="000000"/>
                <w:sz w:val="22"/>
                <w:szCs w:val="22"/>
              </w:rPr>
              <w:t>) Li (MBBS VI)</w:t>
            </w:r>
          </w:p>
          <w:p w14:paraId="186AD061" w14:textId="77777777" w:rsidR="00740379" w:rsidRPr="004036DE" w:rsidRDefault="00492A2D">
            <w:pPr>
              <w:rPr>
                <w:rFonts w:ascii="Arial Narrow" w:eastAsia="Arial Narrow" w:hAnsi="Arial Narrow" w:cs="Arial"/>
                <w:color w:val="000000"/>
                <w:sz w:val="22"/>
                <w:szCs w:val="22"/>
              </w:rPr>
            </w:pPr>
            <w:r w:rsidRPr="004036DE">
              <w:rPr>
                <w:rFonts w:ascii="Arial Narrow" w:eastAsia="Arial Narrow" w:hAnsi="Arial Narrow" w:cs="Arial"/>
                <w:color w:val="000000"/>
                <w:sz w:val="22"/>
                <w:szCs w:val="22"/>
              </w:rPr>
              <w:t>2014: Hannah Davidson (MBBS VI)</w:t>
            </w:r>
          </w:p>
          <w:p w14:paraId="54C8D076" w14:textId="77777777" w:rsidR="00740379" w:rsidRPr="004036DE" w:rsidRDefault="00492A2D">
            <w:pPr>
              <w:rPr>
                <w:rFonts w:ascii="Arial Narrow" w:eastAsia="Arial Narrow" w:hAnsi="Arial Narrow" w:cs="Arial"/>
                <w:color w:val="000000"/>
                <w:sz w:val="22"/>
                <w:szCs w:val="22"/>
              </w:rPr>
            </w:pPr>
            <w:r w:rsidRPr="004036DE">
              <w:rPr>
                <w:rFonts w:ascii="Arial Narrow" w:eastAsia="Arial Narrow" w:hAnsi="Arial Narrow" w:cs="Arial"/>
                <w:color w:val="000000"/>
                <w:sz w:val="22"/>
                <w:szCs w:val="22"/>
              </w:rPr>
              <w:t>2013: Johanna Warren (MBBS V)</w:t>
            </w:r>
          </w:p>
          <w:p w14:paraId="36F213B0" w14:textId="77777777" w:rsidR="00740379" w:rsidRPr="004036DE" w:rsidRDefault="00492A2D">
            <w:pPr>
              <w:rPr>
                <w:rFonts w:ascii="Arial Narrow" w:eastAsia="Arial Narrow" w:hAnsi="Arial Narrow" w:cs="Arial"/>
                <w:color w:val="000000"/>
                <w:sz w:val="22"/>
                <w:szCs w:val="22"/>
              </w:rPr>
            </w:pPr>
            <w:r w:rsidRPr="004036DE">
              <w:rPr>
                <w:rFonts w:ascii="Arial Narrow" w:eastAsia="Arial Narrow" w:hAnsi="Arial Narrow" w:cs="Arial"/>
                <w:color w:val="000000"/>
                <w:sz w:val="22"/>
                <w:szCs w:val="22"/>
              </w:rPr>
              <w:t>2012: Anna Kennedy (MBBS VI)</w:t>
            </w:r>
          </w:p>
        </w:tc>
      </w:tr>
      <w:bookmarkEnd w:id="1"/>
    </w:tbl>
    <w:p w14:paraId="51C4DD50" w14:textId="77777777" w:rsidR="00740379" w:rsidRDefault="00740379"/>
    <w:sectPr w:rsidR="00740379">
      <w:headerReference w:type="default" r:id="rId9"/>
      <w:pgSz w:w="11907" w:h="16840"/>
      <w:pgMar w:top="1440" w:right="1797" w:bottom="1440"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005C4" w14:textId="77777777" w:rsidR="00A5523F" w:rsidRDefault="00A5523F">
      <w:r>
        <w:separator/>
      </w:r>
    </w:p>
  </w:endnote>
  <w:endnote w:type="continuationSeparator" w:id="0">
    <w:p w14:paraId="07DB272E" w14:textId="77777777" w:rsidR="00A5523F" w:rsidRDefault="00A5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eza">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8839C" w14:textId="77777777" w:rsidR="00A5523F" w:rsidRDefault="00A5523F">
      <w:r>
        <w:separator/>
      </w:r>
    </w:p>
  </w:footnote>
  <w:footnote w:type="continuationSeparator" w:id="0">
    <w:p w14:paraId="7DBEC8D0" w14:textId="77777777" w:rsidR="00A5523F" w:rsidRDefault="00A5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4E02" w14:textId="77777777" w:rsidR="00740379" w:rsidRDefault="00740379">
    <w:pPr>
      <w:pBdr>
        <w:top w:val="nil"/>
        <w:left w:val="nil"/>
        <w:bottom w:val="nil"/>
        <w:right w:val="nil"/>
        <w:between w:val="nil"/>
      </w:pBdr>
      <w:tabs>
        <w:tab w:val="center" w:pos="4320"/>
        <w:tab w:val="right" w:pos="8640"/>
      </w:tabs>
      <w:spacing w:before="72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5D2A"/>
    <w:multiLevelType w:val="multilevel"/>
    <w:tmpl w:val="D19CFAD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33A3422E"/>
    <w:multiLevelType w:val="multilevel"/>
    <w:tmpl w:val="2BBE98E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zNjY2MjOxMDAzNTJQ0lEKTi0uzszPAykwqgUAgzhtXiwAAAA="/>
  </w:docVars>
  <w:rsids>
    <w:rsidRoot w:val="00740379"/>
    <w:rsid w:val="000C4B7D"/>
    <w:rsid w:val="004036DE"/>
    <w:rsid w:val="00492A2D"/>
    <w:rsid w:val="00740379"/>
    <w:rsid w:val="00A5523F"/>
    <w:rsid w:val="00B368D7"/>
    <w:rsid w:val="00B96602"/>
    <w:rsid w:val="00C75B3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EFBD"/>
  <w15:docId w15:val="{55B67741-F9F5-4165-A702-01C1164C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digenous@insight.org.a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Thompkins</dc:creator>
  <cp:lastModifiedBy>Jerida Burgess</cp:lastModifiedBy>
  <cp:revision>4</cp:revision>
  <dcterms:created xsi:type="dcterms:W3CDTF">2019-09-22T13:53:00Z</dcterms:created>
  <dcterms:modified xsi:type="dcterms:W3CDTF">2019-09-30T23:37:00Z</dcterms:modified>
</cp:coreProperties>
</file>