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00" w:firstLine="0"/>
        <w:contextualSpacing w:val="0"/>
        <w:rPr>
          <w:rFonts w:ascii="Belleza" w:cs="Belleza" w:eastAsia="Belleza" w:hAnsi="Belleza"/>
          <w:b w:val="1"/>
          <w:color w:val="00004c"/>
          <w:sz w:val="32"/>
          <w:szCs w:val="32"/>
        </w:rPr>
      </w:pPr>
      <w:r w:rsidDel="00000000" w:rsidR="00000000" w:rsidRPr="00000000">
        <w:rPr>
          <w:rFonts w:ascii="Belleza" w:cs="Belleza" w:eastAsia="Belleza" w:hAnsi="Belleza"/>
          <w:b w:val="1"/>
          <w:color w:val="00004c"/>
          <w:sz w:val="32"/>
          <w:szCs w:val="32"/>
          <w:rtl w:val="0"/>
        </w:rPr>
        <w:t xml:space="preserve">Secretary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b="0" l="0" r="0" t="0"/>
            <wp:wrapNone/>
            <wp:docPr descr="G:\Insight\Insight Secretary Handover 2011\Insight logo_blue_neat edges.jpg" id="1" name="image2.jpg"/>
            <a:graphic>
              <a:graphicData uri="http://schemas.openxmlformats.org/drawingml/2006/picture">
                <pic:pic>
                  <pic:nvPicPr>
                    <pic:cNvPr descr="G:\Insight\Insight Secretary Handover 2011\Insight logo_blue_neat edges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00" w:firstLine="0"/>
        <w:contextualSpacing w:val="0"/>
        <w:rPr>
          <w:rFonts w:ascii="Belleza" w:cs="Belleza" w:eastAsia="Belleza" w:hAnsi="Belleza"/>
          <w:b w:val="1"/>
          <w:color w:val="4a86e8"/>
        </w:rPr>
      </w:pPr>
      <w:r w:rsidDel="00000000" w:rsidR="00000000" w:rsidRPr="00000000">
        <w:rPr>
          <w:rFonts w:ascii="Belleza" w:cs="Belleza" w:eastAsia="Belleza" w:hAnsi="Belleza"/>
          <w:b w:val="1"/>
          <w:color w:val="4a86e8"/>
          <w:rtl w:val="0"/>
        </w:rPr>
        <w:t xml:space="preserve">James (JB) Macadam (MBBS IV)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00" w:firstLine="0"/>
        <w:contextualSpacing w:val="0"/>
        <w:rPr>
          <w:rFonts w:ascii="Belleza" w:cs="Belleza" w:eastAsia="Belleza" w:hAnsi="Belleza"/>
          <w:b w:val="1"/>
          <w:color w:val="a50021"/>
        </w:rPr>
      </w:pPr>
      <w:hyperlink r:id="rId7">
        <w:r w:rsidDel="00000000" w:rsidR="00000000" w:rsidRPr="00000000">
          <w:rPr>
            <w:rFonts w:ascii="Belleza" w:cs="Belleza" w:eastAsia="Belleza" w:hAnsi="Belleza"/>
            <w:b w:val="1"/>
            <w:color w:val="1155cc"/>
            <w:u w:val="single"/>
            <w:rtl w:val="0"/>
          </w:rPr>
          <w:t xml:space="preserve">secretary@insight.org.au</w:t>
        </w:r>
      </w:hyperlink>
      <w:r w:rsidDel="00000000" w:rsidR="00000000" w:rsidRPr="00000000">
        <w:rPr>
          <w:rFonts w:ascii="Belleza" w:cs="Belleza" w:eastAsia="Belleza" w:hAnsi="Belleza"/>
          <w:b w:val="1"/>
          <w:color w:val="a500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5"/>
        <w:gridCol w:w="8235"/>
        <w:tblGridChange w:id="0">
          <w:tblGrid>
            <w:gridCol w:w="2325"/>
            <w:gridCol w:w="8235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Name of 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Secretary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Elected: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At AGM, by secret ballot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Position description and main roles: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The Secretary is responsible for creating the agenda, organising the pre-readings,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liaising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 with the AUU and booking rooms as well as taking and distributing minutes for the Committee and Executive meetings.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The Secretary also has the role of being a point of call between Committee members, and providing support when needed. Additionally, as a member of the Executive, the Secretary also is a leader of the society, and expected to contribute to discussions and decision making processes.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The secretary is also responsible for the advertising, reviewing and following up on Development Aid Grants, which are offered to final year students undertaking a medical elective overseas in a developing community. Deciding on the recipients is done by the exec/committee.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Positives of position: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Great way to join the committee, with minimum time commitment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Working with the executive to help guide important and exciting decisions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Providing a greater understanding of the society and the inner workings of how the committee and executive function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Provides experience for future roles with Insight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Aid grants enable you to see what the good works of the charity enable people to provide to developing communities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Negatives of position: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Not much really...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Difficult to contribute to discussions when minuting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jc w:val="both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Lots of emails and emailing!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Time required: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2-5 hours per week, constant for most weeks (depends how fast you type)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Ideas for the future: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Expand upon the Google Drive and enforce committee members to keep it up to date. Potential for organising a better handover process. Keep up to date with AUU Clubs news. Continue implementing pre-reading material provision prior to committee meetings, so that meetings can be expanded to further discussion.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Experience required: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22"/>
                <w:szCs w:val="22"/>
                <w:rtl w:val="0"/>
              </w:rPr>
              <w:t xml:space="preserve">Previous Insight Committee experience is helpful, but not absolutely necessary.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Past office bearers: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2018: James (JB) Macadam (MBBS IV)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2017: Daniella Nolan (MBBS III)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2016: Anna Zeng (MBBS IV)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2015: Steph Inat (MBBS III)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2014: Alyssa Pradhan (MBBS III)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2013: Alyssa Kelly (MBBS VI)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2012: Joule (JJ) Li (MBBS III)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/>
      <w:pgMar w:bottom="1440" w:top="1440" w:left="1797" w:right="1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elleza">
    <w:embedRegular w:fontKey="{00000000-0000-0000-0000-000000000000}" r:id="rId1" w:subsetted="0"/>
  </w:font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secretary@insight.org.a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